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5D7C89">
      <w:pPr>
        <w:suppressLineNumbers/>
        <w:rPr>
          <w:sz w:val="26"/>
          <w:szCs w:val="26"/>
        </w:rPr>
      </w:pPr>
    </w:p>
    <w:tbl>
      <w:tblPr>
        <w:tblStyle w:val="a9"/>
        <w:bidiVisual/>
        <w:tblW w:w="865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34"/>
        <w:gridCol w:w="2350"/>
        <w:gridCol w:w="5672"/>
      </w:tblGrid>
      <w:tr w:rsidR="006816EC" w:rsidRPr="00570148" w:rsidTr="00570148">
        <w:trPr>
          <w:jc w:val="center"/>
        </w:trPr>
        <w:tc>
          <w:tcPr>
            <w:tcW w:w="634" w:type="dxa"/>
            <w:hideMark/>
          </w:tcPr>
          <w:p w:rsidR="006816EC" w:rsidRPr="00570148" w:rsidRDefault="00FB3C14" w:rsidP="005D7C89">
            <w:pPr>
              <w:jc w:val="both"/>
              <w:rPr>
                <w:rFonts w:ascii="Arial (W1)" w:hAnsi="Arial (W1)"/>
                <w:b/>
                <w:bCs/>
                <w:sz w:val="26"/>
                <w:szCs w:val="26"/>
              </w:rPr>
            </w:pPr>
            <w:r w:rsidRPr="00570148">
              <w:rPr>
                <w:rFonts w:hint="cs"/>
                <w:b/>
                <w:bCs/>
                <w:sz w:val="26"/>
                <w:szCs w:val="26"/>
                <w:rtl/>
              </w:rPr>
              <w:t>ל</w:t>
            </w:r>
            <w:r w:rsidR="006816EC" w:rsidRPr="00570148">
              <w:rPr>
                <w:rFonts w:hint="cs"/>
                <w:b/>
                <w:bCs/>
                <w:sz w:val="26"/>
                <w:szCs w:val="26"/>
                <w:rtl/>
              </w:rPr>
              <w:t xml:space="preserve">פני </w:t>
            </w:r>
          </w:p>
        </w:tc>
        <w:tc>
          <w:tcPr>
            <w:tcW w:w="8022" w:type="dxa"/>
            <w:gridSpan w:val="2"/>
            <w:hideMark/>
          </w:tcPr>
          <w:p w:rsidR="006816EC" w:rsidRPr="00570148" w:rsidRDefault="00B32C61" w:rsidP="005D7C89">
            <w:pPr>
              <w:rPr>
                <w:rFonts w:ascii="Arial" w:hAnsi="Arial"/>
                <w:b/>
                <w:bCs/>
                <w:sz w:val="26"/>
                <w:szCs w:val="26"/>
                <w:rtl/>
              </w:rPr>
            </w:pPr>
            <w:r w:rsidRPr="00570148">
              <w:rPr>
                <w:rFonts w:ascii="Arial" w:hAnsi="Arial" w:hint="cs"/>
                <w:b/>
                <w:bCs/>
                <w:sz w:val="26"/>
                <w:szCs w:val="26"/>
                <w:rtl/>
              </w:rPr>
              <w:t>כבוד</w:t>
            </w:r>
            <w:r w:rsidR="006816EC" w:rsidRPr="00570148">
              <w:rPr>
                <w:rFonts w:ascii="Arial" w:hAnsi="Arial" w:hint="cs"/>
                <w:b/>
                <w:bCs/>
                <w:sz w:val="26"/>
                <w:szCs w:val="26"/>
                <w:rtl/>
              </w:rPr>
              <w:t xml:space="preserve"> ה</w:t>
            </w:r>
            <w:r w:rsidRPr="00570148">
              <w:rPr>
                <w:rFonts w:ascii="Arial" w:hAnsi="Arial"/>
                <w:b/>
                <w:bCs/>
                <w:sz w:val="26"/>
                <w:szCs w:val="26"/>
                <w:rtl/>
              </w:rPr>
              <w:t>שופטת</w:t>
            </w:r>
            <w:r w:rsidR="006816EC" w:rsidRPr="00570148">
              <w:rPr>
                <w:rFonts w:ascii="Arial" w:hAnsi="Arial" w:hint="cs"/>
                <w:b/>
                <w:bCs/>
                <w:sz w:val="26"/>
                <w:szCs w:val="26"/>
                <w:rtl/>
              </w:rPr>
              <w:t xml:space="preserve">  </w:t>
            </w:r>
            <w:r w:rsidRPr="00570148">
              <w:rPr>
                <w:rFonts w:ascii="Arial" w:hAnsi="Arial"/>
                <w:b/>
                <w:bCs/>
                <w:sz w:val="26"/>
                <w:szCs w:val="26"/>
                <w:rtl/>
              </w:rPr>
              <w:t>שני כ"ץ</w:t>
            </w:r>
          </w:p>
          <w:p w:rsidR="006816EC" w:rsidRPr="00570148" w:rsidRDefault="006816EC" w:rsidP="005D7C89">
            <w:pPr>
              <w:rPr>
                <w:sz w:val="26"/>
                <w:szCs w:val="26"/>
              </w:rPr>
            </w:pPr>
          </w:p>
        </w:tc>
      </w:tr>
      <w:tr w:rsidR="006816EC" w:rsidRPr="00570148" w:rsidTr="00570148">
        <w:trPr>
          <w:jc w:val="center"/>
        </w:trPr>
        <w:tc>
          <w:tcPr>
            <w:tcW w:w="2984" w:type="dxa"/>
            <w:gridSpan w:val="2"/>
          </w:tcPr>
          <w:p w:rsidR="006816EC" w:rsidRPr="00570148" w:rsidRDefault="006816EC" w:rsidP="005D7C89">
            <w:pPr>
              <w:bidi w:val="0"/>
              <w:rPr>
                <w:rFonts w:ascii="Arial (W1)" w:hAnsi="Arial (W1)"/>
                <w:b/>
                <w:bCs/>
                <w:noProof w:val="0"/>
                <w:sz w:val="26"/>
                <w:szCs w:val="26"/>
                <w:rtl/>
              </w:rPr>
            </w:pPr>
          </w:p>
          <w:p w:rsidR="000C4865" w:rsidRPr="00570148" w:rsidRDefault="00570148" w:rsidP="005D7C89">
            <w:pPr>
              <w:rPr>
                <w:rFonts w:ascii="Arial (W1)" w:hAnsi="Arial (W1)"/>
                <w:b/>
                <w:bCs/>
                <w:noProof w:val="0"/>
                <w:sz w:val="26"/>
                <w:szCs w:val="26"/>
              </w:rPr>
            </w:pPr>
            <w:r w:rsidRPr="00570148">
              <w:rPr>
                <w:rFonts w:hint="cs"/>
                <w:b/>
                <w:bCs/>
                <w:noProof w:val="0"/>
                <w:sz w:val="26"/>
                <w:szCs w:val="26"/>
                <w:rtl/>
              </w:rPr>
              <w:t>תובעת</w:t>
            </w:r>
          </w:p>
        </w:tc>
        <w:tc>
          <w:tcPr>
            <w:tcW w:w="5672" w:type="dxa"/>
          </w:tcPr>
          <w:p w:rsidR="006816EC" w:rsidRPr="00570148" w:rsidRDefault="006816EC" w:rsidP="005D7C89">
            <w:pPr>
              <w:rPr>
                <w:rFonts w:ascii="Arial (W1)" w:hAnsi="Arial (W1)"/>
                <w:b/>
                <w:bCs/>
                <w:noProof w:val="0"/>
                <w:sz w:val="26"/>
                <w:szCs w:val="26"/>
                <w:rtl/>
              </w:rPr>
            </w:pPr>
          </w:p>
          <w:p w:rsidR="00570148" w:rsidRPr="00570148" w:rsidRDefault="00153893" w:rsidP="00447236">
            <w:pPr>
              <w:tabs>
                <w:tab w:val="left" w:pos="1211"/>
              </w:tabs>
              <w:rPr>
                <w:b/>
                <w:bCs/>
                <w:noProof w:val="0"/>
                <w:sz w:val="26"/>
                <w:szCs w:val="26"/>
                <w:rtl/>
              </w:rPr>
            </w:pPr>
            <w:r>
              <w:rPr>
                <w:rFonts w:hint="cs"/>
                <w:b/>
                <w:bCs/>
                <w:noProof w:val="0"/>
                <w:sz w:val="26"/>
                <w:szCs w:val="26"/>
                <w:rtl/>
              </w:rPr>
              <w:t>פלונית</w:t>
            </w:r>
            <w:r w:rsidR="00447236">
              <w:rPr>
                <w:b/>
                <w:bCs/>
                <w:noProof w:val="0"/>
                <w:sz w:val="26"/>
                <w:szCs w:val="26"/>
                <w:rtl/>
              </w:rPr>
              <w:tab/>
            </w:r>
          </w:p>
          <w:p w:rsidR="006816EC" w:rsidRPr="00570148" w:rsidRDefault="00E44DDF" w:rsidP="005D7C89">
            <w:pPr>
              <w:rPr>
                <w:rFonts w:ascii="Arial (W1)" w:hAnsi="Arial (W1)"/>
                <w:b/>
                <w:bCs/>
                <w:noProof w:val="0"/>
                <w:sz w:val="26"/>
                <w:szCs w:val="26"/>
              </w:rPr>
            </w:pPr>
            <w:r w:rsidRPr="00570148">
              <w:rPr>
                <w:rFonts w:ascii="Arial" w:hAnsi="Arial"/>
                <w:b/>
                <w:bCs/>
                <w:noProof w:val="0"/>
                <w:sz w:val="26"/>
                <w:szCs w:val="26"/>
                <w:rtl/>
              </w:rPr>
              <w:t>ע"י ב"כ עוה"ד</w:t>
            </w:r>
            <w:r w:rsidR="00570148" w:rsidRPr="00570148">
              <w:rPr>
                <w:rFonts w:ascii="Arial" w:hAnsi="Arial" w:hint="cs"/>
                <w:b/>
                <w:bCs/>
                <w:noProof w:val="0"/>
                <w:sz w:val="26"/>
                <w:szCs w:val="26"/>
                <w:rtl/>
              </w:rPr>
              <w:t xml:space="preserve"> אור גל-און</w:t>
            </w:r>
          </w:p>
        </w:tc>
      </w:tr>
      <w:tr w:rsidR="006816EC" w:rsidRPr="00570148" w:rsidTr="00570148">
        <w:trPr>
          <w:jc w:val="center"/>
        </w:trPr>
        <w:tc>
          <w:tcPr>
            <w:tcW w:w="8656" w:type="dxa"/>
            <w:gridSpan w:val="3"/>
          </w:tcPr>
          <w:p w:rsidR="006816EC" w:rsidRPr="00570148" w:rsidRDefault="006816EC" w:rsidP="005D7C89">
            <w:pPr>
              <w:rPr>
                <w:rFonts w:ascii="Arial (W1)" w:hAnsi="Arial (W1)"/>
                <w:b/>
                <w:bCs/>
                <w:noProof w:val="0"/>
                <w:sz w:val="26"/>
                <w:szCs w:val="26"/>
                <w:rtl/>
              </w:rPr>
            </w:pPr>
          </w:p>
          <w:p w:rsidR="006816EC" w:rsidRPr="00570148" w:rsidRDefault="006816EC" w:rsidP="005D7C89">
            <w:pPr>
              <w:jc w:val="center"/>
              <w:rPr>
                <w:b/>
                <w:bCs/>
                <w:noProof w:val="0"/>
                <w:sz w:val="26"/>
                <w:szCs w:val="26"/>
                <w:rtl/>
              </w:rPr>
            </w:pPr>
            <w:r w:rsidRPr="00570148">
              <w:rPr>
                <w:rFonts w:hint="cs"/>
                <w:b/>
                <w:bCs/>
                <w:noProof w:val="0"/>
                <w:sz w:val="26"/>
                <w:szCs w:val="26"/>
                <w:rtl/>
              </w:rPr>
              <w:t>נגד</w:t>
            </w:r>
          </w:p>
          <w:p w:rsidR="006816EC" w:rsidRPr="00570148" w:rsidRDefault="006816EC" w:rsidP="005D7C89">
            <w:pPr>
              <w:rPr>
                <w:rFonts w:ascii="Arial (W1)" w:hAnsi="Arial (W1)"/>
                <w:b/>
                <w:bCs/>
                <w:noProof w:val="0"/>
                <w:sz w:val="26"/>
                <w:szCs w:val="26"/>
              </w:rPr>
            </w:pPr>
          </w:p>
        </w:tc>
      </w:tr>
      <w:tr w:rsidR="006816EC" w:rsidRPr="00570148" w:rsidTr="00570148">
        <w:trPr>
          <w:jc w:val="center"/>
        </w:trPr>
        <w:tc>
          <w:tcPr>
            <w:tcW w:w="2984" w:type="dxa"/>
            <w:gridSpan w:val="2"/>
          </w:tcPr>
          <w:p w:rsidR="006816EC" w:rsidRPr="00570148" w:rsidRDefault="00FB3C14" w:rsidP="005D7C89">
            <w:pPr>
              <w:rPr>
                <w:rFonts w:ascii="Arial (W1)" w:hAnsi="Arial (W1)"/>
                <w:b/>
                <w:bCs/>
                <w:noProof w:val="0"/>
                <w:sz w:val="26"/>
                <w:szCs w:val="26"/>
              </w:rPr>
            </w:pPr>
            <w:r w:rsidRPr="00570148">
              <w:rPr>
                <w:rFonts w:hint="cs"/>
                <w:b/>
                <w:bCs/>
                <w:noProof w:val="0"/>
                <w:sz w:val="26"/>
                <w:szCs w:val="26"/>
                <w:rtl/>
              </w:rPr>
              <w:t>נתבע</w:t>
            </w:r>
            <w:r w:rsidR="00570148" w:rsidRPr="00570148">
              <w:rPr>
                <w:rFonts w:hint="cs"/>
                <w:b/>
                <w:bCs/>
                <w:noProof w:val="0"/>
                <w:sz w:val="26"/>
                <w:szCs w:val="26"/>
                <w:rtl/>
              </w:rPr>
              <w:t>ת</w:t>
            </w:r>
          </w:p>
        </w:tc>
        <w:tc>
          <w:tcPr>
            <w:tcW w:w="5672" w:type="dxa"/>
          </w:tcPr>
          <w:p w:rsidR="006816EC" w:rsidRPr="00570148" w:rsidRDefault="00FB3C14" w:rsidP="00153893">
            <w:pPr>
              <w:rPr>
                <w:rFonts w:ascii="Arial (W1)" w:hAnsi="Arial (W1)"/>
                <w:b/>
                <w:bCs/>
                <w:noProof w:val="0"/>
                <w:sz w:val="26"/>
                <w:szCs w:val="26"/>
              </w:rPr>
            </w:pPr>
            <w:r w:rsidRPr="00570148">
              <w:rPr>
                <w:rFonts w:hint="cs"/>
                <w:b/>
                <w:bCs/>
                <w:noProof w:val="0"/>
                <w:sz w:val="26"/>
                <w:szCs w:val="26"/>
                <w:rtl/>
              </w:rPr>
              <w:t>1</w:t>
            </w:r>
            <w:r w:rsidR="006816EC" w:rsidRPr="00570148">
              <w:rPr>
                <w:rFonts w:hint="cs"/>
                <w:b/>
                <w:bCs/>
                <w:noProof w:val="0"/>
                <w:sz w:val="26"/>
                <w:szCs w:val="26"/>
                <w:rtl/>
              </w:rPr>
              <w:t>.</w:t>
            </w:r>
            <w:r w:rsidR="00153893">
              <w:rPr>
                <w:rFonts w:hint="cs"/>
                <w:b/>
                <w:bCs/>
                <w:noProof w:val="0"/>
                <w:sz w:val="26"/>
                <w:szCs w:val="26"/>
                <w:rtl/>
              </w:rPr>
              <w:t xml:space="preserve">נ' ה.ש </w:t>
            </w:r>
            <w:r w:rsidR="00E44DDF" w:rsidRPr="00570148">
              <w:rPr>
                <w:rFonts w:hint="cs"/>
                <w:sz w:val="26"/>
                <w:szCs w:val="26"/>
                <w:rtl/>
              </w:rPr>
              <w:t xml:space="preserve"> </w:t>
            </w:r>
          </w:p>
          <w:p w:rsidR="006816EC" w:rsidRPr="00570148" w:rsidRDefault="00FB3C14" w:rsidP="00153893">
            <w:pPr>
              <w:rPr>
                <w:rFonts w:ascii="Arial (W1)" w:hAnsi="Arial (W1)"/>
                <w:b/>
                <w:bCs/>
                <w:noProof w:val="0"/>
                <w:sz w:val="26"/>
                <w:szCs w:val="26"/>
              </w:rPr>
            </w:pPr>
            <w:r w:rsidRPr="00570148">
              <w:rPr>
                <w:rFonts w:hint="cs"/>
                <w:b/>
                <w:bCs/>
                <w:noProof w:val="0"/>
                <w:sz w:val="26"/>
                <w:szCs w:val="26"/>
                <w:rtl/>
              </w:rPr>
              <w:t>2</w:t>
            </w:r>
            <w:r w:rsidR="006816EC" w:rsidRPr="00570148">
              <w:rPr>
                <w:rFonts w:hint="cs"/>
                <w:b/>
                <w:bCs/>
                <w:noProof w:val="0"/>
                <w:sz w:val="26"/>
                <w:szCs w:val="26"/>
                <w:rtl/>
              </w:rPr>
              <w:t>.</w:t>
            </w:r>
            <w:r w:rsidRPr="00570148">
              <w:rPr>
                <w:rFonts w:hint="cs"/>
                <w:b/>
                <w:bCs/>
                <w:noProof w:val="0"/>
                <w:sz w:val="26"/>
                <w:szCs w:val="26"/>
                <w:rtl/>
              </w:rPr>
              <w:t>ד</w:t>
            </w:r>
            <w:r w:rsidR="00153893">
              <w:rPr>
                <w:rFonts w:hint="cs"/>
                <w:b/>
                <w:bCs/>
                <w:noProof w:val="0"/>
                <w:sz w:val="26"/>
                <w:szCs w:val="26"/>
                <w:rtl/>
              </w:rPr>
              <w:t xml:space="preserve">' </w:t>
            </w:r>
            <w:r w:rsidRPr="00570148">
              <w:rPr>
                <w:rFonts w:hint="cs"/>
                <w:b/>
                <w:bCs/>
                <w:noProof w:val="0"/>
                <w:sz w:val="26"/>
                <w:szCs w:val="26"/>
                <w:rtl/>
              </w:rPr>
              <w:t>ה</w:t>
            </w:r>
            <w:r w:rsidR="00153893">
              <w:rPr>
                <w:rFonts w:hint="cs"/>
                <w:b/>
                <w:bCs/>
                <w:noProof w:val="0"/>
                <w:sz w:val="26"/>
                <w:szCs w:val="26"/>
                <w:rtl/>
              </w:rPr>
              <w:t>.</w:t>
            </w:r>
            <w:r w:rsidRPr="00570148">
              <w:rPr>
                <w:rFonts w:hint="cs"/>
                <w:b/>
                <w:bCs/>
                <w:noProof w:val="0"/>
                <w:sz w:val="26"/>
                <w:szCs w:val="26"/>
                <w:rtl/>
              </w:rPr>
              <w:t>ש</w:t>
            </w:r>
            <w:r w:rsidR="00E44DDF" w:rsidRPr="00570148">
              <w:rPr>
                <w:rFonts w:hint="cs"/>
                <w:sz w:val="26"/>
                <w:szCs w:val="26"/>
                <w:rtl/>
              </w:rPr>
              <w:t xml:space="preserve"> </w:t>
            </w:r>
          </w:p>
          <w:p w:rsidR="006816EC" w:rsidRPr="00570148" w:rsidRDefault="00FB3C14" w:rsidP="00153893">
            <w:pPr>
              <w:rPr>
                <w:rFonts w:ascii="Arial (W1)" w:hAnsi="Arial (W1)"/>
                <w:b/>
                <w:bCs/>
                <w:noProof w:val="0"/>
                <w:sz w:val="26"/>
                <w:szCs w:val="26"/>
              </w:rPr>
            </w:pPr>
            <w:r w:rsidRPr="00570148">
              <w:rPr>
                <w:rFonts w:hint="cs"/>
                <w:b/>
                <w:bCs/>
                <w:noProof w:val="0"/>
                <w:sz w:val="26"/>
                <w:szCs w:val="26"/>
                <w:rtl/>
              </w:rPr>
              <w:t>3</w:t>
            </w:r>
            <w:r w:rsidR="006816EC" w:rsidRPr="00570148">
              <w:rPr>
                <w:rFonts w:hint="cs"/>
                <w:b/>
                <w:bCs/>
                <w:noProof w:val="0"/>
                <w:sz w:val="26"/>
                <w:szCs w:val="26"/>
                <w:rtl/>
              </w:rPr>
              <w:t>.</w:t>
            </w:r>
            <w:r w:rsidRPr="00570148">
              <w:rPr>
                <w:rFonts w:hint="cs"/>
                <w:b/>
                <w:bCs/>
                <w:noProof w:val="0"/>
                <w:sz w:val="26"/>
                <w:szCs w:val="26"/>
                <w:rtl/>
              </w:rPr>
              <w:t>ל</w:t>
            </w:r>
            <w:r w:rsidR="00153893">
              <w:rPr>
                <w:rFonts w:hint="cs"/>
                <w:b/>
                <w:bCs/>
                <w:noProof w:val="0"/>
                <w:sz w:val="26"/>
                <w:szCs w:val="26"/>
                <w:rtl/>
              </w:rPr>
              <w:t xml:space="preserve">' </w:t>
            </w:r>
            <w:r w:rsidRPr="00570148">
              <w:rPr>
                <w:rFonts w:hint="cs"/>
                <w:b/>
                <w:bCs/>
                <w:noProof w:val="0"/>
                <w:sz w:val="26"/>
                <w:szCs w:val="26"/>
                <w:rtl/>
              </w:rPr>
              <w:t>י</w:t>
            </w:r>
            <w:r w:rsidR="00153893">
              <w:rPr>
                <w:rFonts w:hint="cs"/>
                <w:b/>
                <w:bCs/>
                <w:noProof w:val="0"/>
                <w:sz w:val="26"/>
                <w:szCs w:val="26"/>
                <w:rtl/>
              </w:rPr>
              <w:t>.</w:t>
            </w:r>
            <w:r w:rsidRPr="00570148">
              <w:rPr>
                <w:rFonts w:hint="cs"/>
                <w:b/>
                <w:bCs/>
                <w:noProof w:val="0"/>
                <w:sz w:val="26"/>
                <w:szCs w:val="26"/>
                <w:rtl/>
              </w:rPr>
              <w:t>ה</w:t>
            </w:r>
            <w:r w:rsidR="00153893">
              <w:rPr>
                <w:rFonts w:hint="cs"/>
                <w:b/>
                <w:bCs/>
                <w:noProof w:val="0"/>
                <w:sz w:val="26"/>
                <w:szCs w:val="26"/>
                <w:rtl/>
              </w:rPr>
              <w:t>.</w:t>
            </w:r>
            <w:r w:rsidRPr="00570148">
              <w:rPr>
                <w:rFonts w:hint="cs"/>
                <w:b/>
                <w:bCs/>
                <w:noProof w:val="0"/>
                <w:sz w:val="26"/>
                <w:szCs w:val="26"/>
                <w:rtl/>
              </w:rPr>
              <w:t>ש</w:t>
            </w:r>
          </w:p>
          <w:p w:rsidR="00570148" w:rsidRPr="00570148" w:rsidRDefault="00FB3C14" w:rsidP="00153893">
            <w:pPr>
              <w:rPr>
                <w:rFonts w:ascii="Arial" w:hAnsi="Arial"/>
                <w:b/>
                <w:bCs/>
                <w:noProof w:val="0"/>
                <w:sz w:val="26"/>
                <w:szCs w:val="26"/>
                <w:rtl/>
              </w:rPr>
            </w:pPr>
            <w:r w:rsidRPr="00570148">
              <w:rPr>
                <w:rFonts w:hint="cs"/>
                <w:b/>
                <w:bCs/>
                <w:noProof w:val="0"/>
                <w:sz w:val="26"/>
                <w:szCs w:val="26"/>
                <w:rtl/>
              </w:rPr>
              <w:t>4</w:t>
            </w:r>
            <w:r w:rsidR="006816EC" w:rsidRPr="00570148">
              <w:rPr>
                <w:rFonts w:hint="cs"/>
                <w:b/>
                <w:bCs/>
                <w:noProof w:val="0"/>
                <w:sz w:val="26"/>
                <w:szCs w:val="26"/>
                <w:rtl/>
              </w:rPr>
              <w:t>.</w:t>
            </w:r>
            <w:r w:rsidRPr="00570148">
              <w:rPr>
                <w:rFonts w:hint="cs"/>
                <w:b/>
                <w:bCs/>
                <w:noProof w:val="0"/>
                <w:sz w:val="26"/>
                <w:szCs w:val="26"/>
                <w:rtl/>
              </w:rPr>
              <w:t>ת</w:t>
            </w:r>
            <w:r w:rsidR="00153893">
              <w:rPr>
                <w:rFonts w:hint="cs"/>
                <w:b/>
                <w:bCs/>
                <w:noProof w:val="0"/>
                <w:sz w:val="26"/>
                <w:szCs w:val="26"/>
                <w:rtl/>
              </w:rPr>
              <w:t xml:space="preserve">' </w:t>
            </w:r>
            <w:r w:rsidRPr="00570148">
              <w:rPr>
                <w:rFonts w:hint="cs"/>
                <w:b/>
                <w:bCs/>
                <w:noProof w:val="0"/>
                <w:sz w:val="26"/>
                <w:szCs w:val="26"/>
                <w:rtl/>
              </w:rPr>
              <w:t>ה</w:t>
            </w:r>
            <w:r w:rsidR="00153893">
              <w:rPr>
                <w:rFonts w:hint="cs"/>
                <w:b/>
                <w:bCs/>
                <w:noProof w:val="0"/>
                <w:sz w:val="26"/>
                <w:szCs w:val="26"/>
                <w:rtl/>
              </w:rPr>
              <w:t>.</w:t>
            </w:r>
            <w:r w:rsidRPr="00570148">
              <w:rPr>
                <w:rFonts w:hint="cs"/>
                <w:b/>
                <w:bCs/>
                <w:noProof w:val="0"/>
                <w:sz w:val="26"/>
                <w:szCs w:val="26"/>
                <w:rtl/>
              </w:rPr>
              <w:t>ש</w:t>
            </w:r>
            <w:r w:rsidR="00E44DDF" w:rsidRPr="00570148">
              <w:rPr>
                <w:rFonts w:hint="cs"/>
                <w:sz w:val="26"/>
                <w:szCs w:val="26"/>
                <w:rtl/>
              </w:rPr>
              <w:t xml:space="preserve"> </w:t>
            </w:r>
          </w:p>
          <w:p w:rsidR="006816EC" w:rsidRPr="00570148" w:rsidRDefault="00E44DDF" w:rsidP="005D7C89">
            <w:pPr>
              <w:rPr>
                <w:rFonts w:ascii="Arial (W1)" w:hAnsi="Arial (W1)"/>
                <w:b/>
                <w:bCs/>
                <w:noProof w:val="0"/>
                <w:sz w:val="26"/>
                <w:szCs w:val="26"/>
              </w:rPr>
            </w:pPr>
            <w:r w:rsidRPr="00570148">
              <w:rPr>
                <w:rFonts w:ascii="Arial" w:hAnsi="Arial"/>
                <w:b/>
                <w:bCs/>
                <w:noProof w:val="0"/>
                <w:sz w:val="26"/>
                <w:szCs w:val="26"/>
                <w:rtl/>
              </w:rPr>
              <w:t>ע"י ב"כ עוה"ד</w:t>
            </w:r>
            <w:r w:rsidR="00570148" w:rsidRPr="00570148">
              <w:rPr>
                <w:rFonts w:ascii="Arial (W1)" w:hAnsi="Arial (W1)" w:hint="cs"/>
                <w:b/>
                <w:bCs/>
                <w:noProof w:val="0"/>
                <w:sz w:val="26"/>
                <w:szCs w:val="26"/>
                <w:rtl/>
              </w:rPr>
              <w:t xml:space="preserve"> </w:t>
            </w:r>
            <w:r w:rsidR="00570148">
              <w:rPr>
                <w:rFonts w:ascii="Arial (W1)" w:hAnsi="Arial (W1)" w:hint="cs"/>
                <w:b/>
                <w:bCs/>
                <w:noProof w:val="0"/>
                <w:sz w:val="26"/>
                <w:szCs w:val="26"/>
                <w:rtl/>
              </w:rPr>
              <w:t>דודי לוי</w:t>
            </w:r>
          </w:p>
        </w:tc>
      </w:tr>
      <w:tr w:rsidR="00D36A71" w:rsidRPr="00570148" w:rsidTr="00570148">
        <w:trPr>
          <w:jc w:val="center"/>
        </w:trPr>
        <w:tc>
          <w:tcPr>
            <w:tcW w:w="8656" w:type="dxa"/>
            <w:gridSpan w:val="3"/>
          </w:tcPr>
          <w:p w:rsidR="00D36A71" w:rsidRDefault="00D36A71" w:rsidP="005D7C89">
            <w:pPr>
              <w:rPr>
                <w:rFonts w:ascii="Arial (W1)" w:hAnsi="Arial (W1)"/>
                <w:b/>
                <w:bCs/>
                <w:noProof w:val="0"/>
                <w:sz w:val="26"/>
                <w:szCs w:val="26"/>
                <w:rtl/>
              </w:rPr>
            </w:pPr>
          </w:p>
          <w:p w:rsidR="00570148" w:rsidRPr="00570148" w:rsidRDefault="00570148" w:rsidP="005D7C89">
            <w:pPr>
              <w:rPr>
                <w:rFonts w:ascii="Arial (W1)" w:hAnsi="Arial (W1)"/>
                <w:b/>
                <w:bCs/>
                <w:noProof w:val="0"/>
                <w:sz w:val="26"/>
                <w:szCs w:val="26"/>
                <w:rtl/>
              </w:rPr>
            </w:pPr>
          </w:p>
        </w:tc>
      </w:tr>
      <w:tr w:rsidR="00D36A71" w:rsidRPr="00570148" w:rsidTr="00570148">
        <w:trPr>
          <w:jc w:val="center"/>
        </w:trPr>
        <w:tc>
          <w:tcPr>
            <w:tcW w:w="2984" w:type="dxa"/>
            <w:gridSpan w:val="2"/>
          </w:tcPr>
          <w:p w:rsidR="000C4865" w:rsidRPr="00570148" w:rsidRDefault="00570148" w:rsidP="005D7C89">
            <w:pPr>
              <w:rPr>
                <w:rFonts w:ascii="David" w:eastAsia="David" w:hAnsi="David"/>
                <w:b/>
                <w:bCs/>
                <w:noProof w:val="0"/>
                <w:sz w:val="26"/>
                <w:szCs w:val="26"/>
              </w:rPr>
            </w:pPr>
            <w:r w:rsidRPr="00570148">
              <w:rPr>
                <w:rFonts w:ascii="David" w:eastAsia="David" w:hAnsi="David"/>
                <w:b/>
                <w:bCs/>
                <w:noProof w:val="0"/>
                <w:sz w:val="26"/>
                <w:szCs w:val="26"/>
                <w:rtl/>
              </w:rPr>
              <w:t>בעניין:</w:t>
            </w:r>
          </w:p>
        </w:tc>
        <w:tc>
          <w:tcPr>
            <w:tcW w:w="5672" w:type="dxa"/>
          </w:tcPr>
          <w:p w:rsidR="000C4865" w:rsidRPr="00570148" w:rsidRDefault="00570148" w:rsidP="00153893">
            <w:pPr>
              <w:rPr>
                <w:rFonts w:ascii="David" w:hAnsi="David"/>
                <w:b/>
                <w:bCs/>
                <w:sz w:val="26"/>
                <w:szCs w:val="26"/>
              </w:rPr>
            </w:pPr>
            <w:r w:rsidRPr="00570148">
              <w:rPr>
                <w:rFonts w:ascii="David" w:hAnsi="David"/>
                <w:b/>
                <w:bCs/>
                <w:sz w:val="26"/>
                <w:szCs w:val="26"/>
                <w:rtl/>
              </w:rPr>
              <w:t>עזבון המנוח א</w:t>
            </w:r>
            <w:r w:rsidR="00153893">
              <w:rPr>
                <w:rFonts w:ascii="David" w:hAnsi="David" w:hint="cs"/>
                <w:b/>
                <w:bCs/>
                <w:sz w:val="26"/>
                <w:szCs w:val="26"/>
                <w:rtl/>
              </w:rPr>
              <w:t>'.</w:t>
            </w:r>
            <w:r w:rsidRPr="00570148">
              <w:rPr>
                <w:rFonts w:ascii="David" w:hAnsi="David"/>
                <w:b/>
                <w:bCs/>
                <w:sz w:val="26"/>
                <w:szCs w:val="26"/>
                <w:rtl/>
              </w:rPr>
              <w:t>י</w:t>
            </w:r>
            <w:r w:rsidR="00153893">
              <w:rPr>
                <w:rFonts w:ascii="David" w:hAnsi="David" w:hint="cs"/>
                <w:b/>
                <w:bCs/>
                <w:sz w:val="26"/>
                <w:szCs w:val="26"/>
                <w:rtl/>
              </w:rPr>
              <w:t>' ה.ש ז</w:t>
            </w:r>
            <w:r w:rsidR="00153893">
              <w:rPr>
                <w:rFonts w:ascii="David" w:hAnsi="David"/>
                <w:b/>
                <w:bCs/>
                <w:sz w:val="26"/>
                <w:szCs w:val="26"/>
                <w:rtl/>
              </w:rPr>
              <w:t>"ל</w:t>
            </w:r>
          </w:p>
        </w:tc>
      </w:tr>
    </w:tbl>
    <w:p w:rsidR="006816EC" w:rsidRDefault="006816EC" w:rsidP="005D7C89">
      <w:pPr>
        <w:suppressLineNumbers/>
        <w:rPr>
          <w:rFonts w:ascii="Arial (W1)" w:hAnsi="Arial (W1)"/>
          <w:sz w:val="28"/>
          <w:szCs w:val="28"/>
          <w:rtl/>
        </w:rPr>
      </w:pPr>
    </w:p>
    <w:p w:rsidR="006816EC" w:rsidRDefault="006816EC" w:rsidP="005D7C89">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rsidP="005D7C89">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p w:rsidR="00570148" w:rsidRDefault="00570148" w:rsidP="005D7C89">
            <w:pPr>
              <w:bidi w:val="0"/>
              <w:jc w:val="center"/>
              <w:rPr>
                <w:rFonts w:ascii="Arial" w:hAnsi="Arial"/>
                <w:b/>
                <w:bCs/>
                <w:noProof w:val="0"/>
                <w:sz w:val="28"/>
                <w:szCs w:val="28"/>
                <w:u w:val="single"/>
              </w:rPr>
            </w:pPr>
          </w:p>
        </w:tc>
      </w:tr>
    </w:tbl>
    <w:p w:rsidR="00570148" w:rsidRDefault="00570148" w:rsidP="005D7C89">
      <w:pPr>
        <w:spacing w:line="360" w:lineRule="auto"/>
        <w:jc w:val="both"/>
        <w:rPr>
          <w:rFonts w:ascii="David" w:hAnsi="David"/>
          <w:b/>
          <w:bCs/>
          <w:noProof w:val="0"/>
        </w:rPr>
      </w:pPr>
      <w:r>
        <w:rPr>
          <w:rFonts w:ascii="David" w:hAnsi="David"/>
          <w:b/>
          <w:bCs/>
          <w:rtl/>
        </w:rPr>
        <w:t xml:space="preserve">האם המתנגדת, הטוענת להיות בת זוגו של מנוח, זכאית לרשת על פי דין חלק מעיזבונו על אף שהמנוח היה נשוי לאחרת בעת פטירתו? זאת השאלה העומדת להכרעה בתובענות שלפניי. </w:t>
      </w:r>
    </w:p>
    <w:p w:rsidR="00851E06" w:rsidRDefault="00851E06" w:rsidP="005D7C89">
      <w:pPr>
        <w:tabs>
          <w:tab w:val="left" w:pos="567"/>
        </w:tabs>
        <w:spacing w:line="360" w:lineRule="auto"/>
        <w:ind w:left="567" w:hanging="567"/>
        <w:jc w:val="both"/>
        <w:rPr>
          <w:rFonts w:ascii="David" w:hAnsi="David"/>
          <w:b/>
          <w:bCs/>
          <w:u w:val="single"/>
          <w:rtl/>
        </w:rPr>
      </w:pPr>
    </w:p>
    <w:p w:rsidR="00570148" w:rsidRDefault="00570148" w:rsidP="005D7C89">
      <w:pPr>
        <w:tabs>
          <w:tab w:val="left" w:pos="567"/>
        </w:tabs>
        <w:spacing w:line="360" w:lineRule="auto"/>
        <w:ind w:left="567" w:hanging="567"/>
        <w:jc w:val="both"/>
        <w:rPr>
          <w:rFonts w:ascii="David" w:hAnsi="David"/>
          <w:rtl/>
        </w:rPr>
      </w:pPr>
      <w:r>
        <w:rPr>
          <w:rFonts w:ascii="David" w:hAnsi="David"/>
          <w:b/>
          <w:bCs/>
          <w:u w:val="single"/>
          <w:rtl/>
        </w:rPr>
        <w:t>רקע כללי</w:t>
      </w:r>
      <w:r>
        <w:rPr>
          <w:rFonts w:ascii="David" w:hAnsi="David"/>
          <w:rtl/>
        </w:rPr>
        <w:t xml:space="preserve">: </w:t>
      </w:r>
    </w:p>
    <w:p w:rsidR="00A96D0B" w:rsidRDefault="00A96D0B" w:rsidP="005D7C89">
      <w:pPr>
        <w:tabs>
          <w:tab w:val="left" w:pos="567"/>
        </w:tabs>
        <w:spacing w:line="360" w:lineRule="auto"/>
        <w:ind w:left="567" w:hanging="567"/>
        <w:jc w:val="both"/>
        <w:rPr>
          <w:rFonts w:ascii="David" w:hAnsi="David"/>
          <w:rtl/>
        </w:rPr>
      </w:pPr>
    </w:p>
    <w:p w:rsidR="00570148" w:rsidRDefault="00570148" w:rsidP="00153893">
      <w:pPr>
        <w:pStyle w:val="ad"/>
        <w:numPr>
          <w:ilvl w:val="0"/>
          <w:numId w:val="1"/>
        </w:numPr>
        <w:tabs>
          <w:tab w:val="left" w:pos="567"/>
        </w:tabs>
        <w:spacing w:after="0" w:line="360" w:lineRule="auto"/>
        <w:ind w:left="567" w:hanging="567"/>
        <w:contextualSpacing w:val="0"/>
        <w:jc w:val="both"/>
        <w:rPr>
          <w:rFonts w:ascii="David" w:hAnsi="David" w:cs="David"/>
          <w:sz w:val="24"/>
          <w:szCs w:val="24"/>
        </w:rPr>
      </w:pPr>
      <w:r w:rsidRPr="00153893">
        <w:rPr>
          <w:rFonts w:ascii="David" w:hAnsi="David" w:cs="David"/>
          <w:sz w:val="24"/>
          <w:szCs w:val="24"/>
          <w:rtl/>
        </w:rPr>
        <w:t xml:space="preserve"> </w:t>
      </w:r>
      <w:r w:rsidRPr="00153893">
        <w:rPr>
          <w:rFonts w:ascii="David" w:hAnsi="David" w:cs="David"/>
          <w:sz w:val="24"/>
          <w:szCs w:val="24"/>
          <w:rtl/>
        </w:rPr>
        <w:tab/>
        <w:t xml:space="preserve">ההליכים שלפניי כרוכים אחר עתירת המשיבות, אלמנתו ובנותיו של המנוח </w:t>
      </w:r>
      <w:r w:rsidR="00153893" w:rsidRPr="00153893">
        <w:rPr>
          <w:rFonts w:ascii="David" w:hAnsi="David" w:cs="David"/>
          <w:sz w:val="24"/>
          <w:szCs w:val="24"/>
          <w:rtl/>
        </w:rPr>
        <w:t xml:space="preserve">א'.י' ה.ש </w:t>
      </w:r>
      <w:r>
        <w:rPr>
          <w:rFonts w:ascii="David" w:hAnsi="David" w:cs="David"/>
          <w:sz w:val="24"/>
          <w:szCs w:val="24"/>
          <w:rtl/>
        </w:rPr>
        <w:t>ז"ל, לקבלת צו ירושה אחר עזבונו, והתנגדות לבקשה, אשר הוגשה על ידי המתנגדת, ומבוססת על טענתה בדבר היותם בני זוג ידועים בציבור.</w:t>
      </w:r>
    </w:p>
    <w:p w:rsidR="00851E06" w:rsidRDefault="00851E06" w:rsidP="005D7C89">
      <w:pPr>
        <w:pStyle w:val="ad"/>
        <w:tabs>
          <w:tab w:val="left" w:pos="567"/>
        </w:tabs>
        <w:spacing w:after="0" w:line="360" w:lineRule="auto"/>
        <w:ind w:left="567"/>
        <w:contextualSpacing w:val="0"/>
        <w:jc w:val="both"/>
        <w:rPr>
          <w:rFonts w:ascii="David" w:hAnsi="David" w:cs="David"/>
          <w:sz w:val="24"/>
          <w:szCs w:val="24"/>
          <w:rtl/>
        </w:rPr>
      </w:pPr>
    </w:p>
    <w:p w:rsidR="00851E06" w:rsidRDefault="00570148" w:rsidP="00153893">
      <w:pPr>
        <w:pStyle w:val="ad"/>
        <w:numPr>
          <w:ilvl w:val="0"/>
          <w:numId w:val="1"/>
        </w:numPr>
        <w:tabs>
          <w:tab w:val="left" w:pos="567"/>
        </w:tabs>
        <w:spacing w:after="0" w:line="360" w:lineRule="auto"/>
        <w:ind w:left="567" w:hanging="567"/>
        <w:contextualSpacing w:val="0"/>
        <w:jc w:val="both"/>
        <w:rPr>
          <w:rFonts w:ascii="David" w:hAnsi="David" w:cs="David"/>
          <w:sz w:val="24"/>
          <w:szCs w:val="24"/>
        </w:rPr>
      </w:pPr>
      <w:r>
        <w:rPr>
          <w:rFonts w:ascii="David" w:hAnsi="David" w:cs="David"/>
          <w:sz w:val="24"/>
          <w:szCs w:val="24"/>
          <w:rtl/>
        </w:rPr>
        <w:t xml:space="preserve"> </w:t>
      </w:r>
      <w:r>
        <w:rPr>
          <w:rFonts w:ascii="David" w:hAnsi="David" w:cs="David"/>
          <w:sz w:val="24"/>
          <w:szCs w:val="24"/>
          <w:rtl/>
        </w:rPr>
        <w:tab/>
        <w:t xml:space="preserve">ביום 1.4.2018 הלך לבית עולמו מר </w:t>
      </w:r>
      <w:r w:rsidR="00153893" w:rsidRPr="00153893">
        <w:rPr>
          <w:rFonts w:ascii="David" w:hAnsi="David" w:cs="David"/>
          <w:sz w:val="24"/>
          <w:szCs w:val="24"/>
          <w:rtl/>
        </w:rPr>
        <w:t xml:space="preserve">א'.י' ה.ש </w:t>
      </w:r>
      <w:r>
        <w:rPr>
          <w:rFonts w:ascii="David" w:hAnsi="David" w:cs="David"/>
          <w:sz w:val="24"/>
          <w:szCs w:val="24"/>
          <w:rtl/>
        </w:rPr>
        <w:t>ז"ל (להלן ולעיל: "</w:t>
      </w:r>
      <w:r>
        <w:rPr>
          <w:rFonts w:ascii="David" w:hAnsi="David" w:cs="David"/>
          <w:b/>
          <w:bCs/>
          <w:sz w:val="24"/>
          <w:szCs w:val="24"/>
          <w:rtl/>
        </w:rPr>
        <w:t>המנוח</w:t>
      </w:r>
      <w:r>
        <w:rPr>
          <w:rFonts w:ascii="David" w:hAnsi="David" w:cs="David"/>
          <w:sz w:val="24"/>
          <w:szCs w:val="24"/>
          <w:rtl/>
        </w:rPr>
        <w:t xml:space="preserve">") בהיותו כבן 69 שנים לאחר שנאבק במחלת הסרטן. המנוח, מהנדס במקצועו, היה איש עסקים ובעלים של מספר חברות בתחום הבנייה והתשתיות, אדם רב פעלים, אמיד ומוכר. </w:t>
      </w:r>
    </w:p>
    <w:p w:rsidR="00851E06" w:rsidRPr="00851E06" w:rsidRDefault="00851E06" w:rsidP="005D7C89">
      <w:pPr>
        <w:pStyle w:val="ad"/>
        <w:tabs>
          <w:tab w:val="left" w:pos="567"/>
        </w:tabs>
        <w:spacing w:after="0" w:line="360" w:lineRule="auto"/>
        <w:ind w:left="567"/>
        <w:contextualSpacing w:val="0"/>
        <w:jc w:val="both"/>
        <w:rPr>
          <w:rFonts w:ascii="David" w:hAnsi="David" w:cs="David"/>
          <w:sz w:val="24"/>
          <w:szCs w:val="24"/>
        </w:rPr>
      </w:pPr>
    </w:p>
    <w:p w:rsidR="00570148" w:rsidRDefault="00570148" w:rsidP="00447236">
      <w:pPr>
        <w:pStyle w:val="ad"/>
        <w:numPr>
          <w:ilvl w:val="0"/>
          <w:numId w:val="1"/>
        </w:numPr>
        <w:tabs>
          <w:tab w:val="left" w:pos="567"/>
        </w:tabs>
        <w:spacing w:after="0" w:line="360" w:lineRule="auto"/>
        <w:ind w:left="567" w:hanging="567"/>
        <w:contextualSpacing w:val="0"/>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ab/>
        <w:t xml:space="preserve">במועד פטירתו היה המנוח נשוי למשיבה 1, לה נישא כדמו"י ביום 10.12.1973. במהלך חייהם המשותפים נולדו למשיבה 1 ולמנוח שלוש בנות, משיבות 2-4 להליך זה, כולן בגירות. </w:t>
      </w:r>
      <w:r>
        <w:rPr>
          <w:rFonts w:ascii="David" w:hAnsi="David" w:cs="David" w:hint="cs"/>
          <w:sz w:val="24"/>
          <w:szCs w:val="24"/>
          <w:rtl/>
        </w:rPr>
        <w:br/>
        <w:t>המנוח והמשיבה 1 התגוררו בביתם המשותף בישוב מ</w:t>
      </w:r>
      <w:r w:rsidR="00447236">
        <w:rPr>
          <w:rFonts w:ascii="David" w:hAnsi="David" w:cs="David" w:hint="cs"/>
          <w:sz w:val="24"/>
          <w:szCs w:val="24"/>
          <w:rtl/>
        </w:rPr>
        <w:t>'</w:t>
      </w:r>
      <w:r>
        <w:rPr>
          <w:rFonts w:ascii="David" w:hAnsi="David" w:cs="David" w:hint="cs"/>
          <w:sz w:val="24"/>
          <w:szCs w:val="24"/>
          <w:rtl/>
        </w:rPr>
        <w:t>.</w:t>
      </w:r>
    </w:p>
    <w:p w:rsidR="00851E06" w:rsidRDefault="00851E06" w:rsidP="005D7C89">
      <w:pPr>
        <w:pStyle w:val="ad"/>
        <w:tabs>
          <w:tab w:val="left" w:pos="567"/>
        </w:tabs>
        <w:spacing w:after="0" w:line="360" w:lineRule="auto"/>
        <w:ind w:left="567"/>
        <w:contextualSpacing w:val="0"/>
        <w:jc w:val="both"/>
        <w:rPr>
          <w:rFonts w:ascii="David" w:hAnsi="David" w:cs="David"/>
          <w:sz w:val="24"/>
          <w:szCs w:val="24"/>
        </w:rPr>
      </w:pPr>
    </w:p>
    <w:p w:rsidR="00570148" w:rsidRDefault="00570148" w:rsidP="005D7C89">
      <w:pPr>
        <w:pStyle w:val="ad"/>
        <w:numPr>
          <w:ilvl w:val="0"/>
          <w:numId w:val="1"/>
        </w:numPr>
        <w:tabs>
          <w:tab w:val="left" w:pos="567"/>
        </w:tabs>
        <w:spacing w:after="0" w:line="360" w:lineRule="auto"/>
        <w:ind w:left="567" w:hanging="567"/>
        <w:contextualSpacing w:val="0"/>
        <w:jc w:val="both"/>
        <w:rPr>
          <w:rFonts w:ascii="David" w:hAnsi="David" w:cs="David"/>
          <w:sz w:val="24"/>
          <w:szCs w:val="24"/>
        </w:rPr>
      </w:pPr>
      <w:r>
        <w:rPr>
          <w:rFonts w:ascii="David" w:hAnsi="David" w:cs="David"/>
          <w:sz w:val="24"/>
          <w:szCs w:val="24"/>
          <w:rtl/>
        </w:rPr>
        <w:t xml:space="preserve"> </w:t>
      </w:r>
      <w:r>
        <w:rPr>
          <w:rFonts w:ascii="David" w:hAnsi="David" w:cs="David"/>
          <w:sz w:val="24"/>
          <w:szCs w:val="24"/>
          <w:rtl/>
        </w:rPr>
        <w:tab/>
        <w:t>ביום 15.8.2020, פנו המשיבות לרשם לענייני ירושה במחוז הדרום בבקשה לצו ירושה אחר עזבון המנוח לפיו הן יורשותיו על-פי דין, ומשכך, דין עזבונו להתחלק, מחצה למשיבה 1 (אלמנתו) ומחצה למשיבות 2-4 (בנותיו).</w:t>
      </w:r>
    </w:p>
    <w:p w:rsidR="00570148" w:rsidRDefault="00570148" w:rsidP="005D7C89">
      <w:pPr>
        <w:pStyle w:val="ad"/>
        <w:numPr>
          <w:ilvl w:val="0"/>
          <w:numId w:val="1"/>
        </w:numPr>
        <w:tabs>
          <w:tab w:val="left" w:pos="567"/>
        </w:tabs>
        <w:spacing w:after="0" w:line="360" w:lineRule="auto"/>
        <w:ind w:left="567" w:hanging="567"/>
        <w:contextualSpacing w:val="0"/>
        <w:jc w:val="both"/>
        <w:rPr>
          <w:rFonts w:ascii="David" w:hAnsi="David" w:cs="David"/>
          <w:sz w:val="24"/>
          <w:szCs w:val="24"/>
        </w:rPr>
      </w:pPr>
      <w:r>
        <w:rPr>
          <w:rFonts w:ascii="David" w:hAnsi="David" w:cs="David"/>
          <w:sz w:val="24"/>
          <w:szCs w:val="24"/>
          <w:rtl/>
        </w:rPr>
        <w:lastRenderedPageBreak/>
        <w:t xml:space="preserve"> </w:t>
      </w:r>
      <w:r>
        <w:rPr>
          <w:rFonts w:ascii="David" w:hAnsi="David" w:cs="David"/>
          <w:sz w:val="24"/>
          <w:szCs w:val="24"/>
          <w:rtl/>
        </w:rPr>
        <w:tab/>
        <w:t>המתנגדת, גרושה ואם לשני ילדים בגירים, הגישה התנגדות לבקשה למתן צו ירושה, בטענה שהייתה בת זוגו והידועה בציבור של המנוח משנת 1992 ועד לפטירתו. לשיטת המתנגדת, היא היורשת על פי דין של מחצית מעיזבונו של המנוח כבת זוגו, תחת המשיבה 1, כאשר המחצית הנותרת תתחלק בין בנותיו, המשיבות 2-4.</w:t>
      </w:r>
    </w:p>
    <w:p w:rsidR="00851E06" w:rsidRDefault="00851E06" w:rsidP="005D7C89">
      <w:pPr>
        <w:pStyle w:val="ad"/>
        <w:tabs>
          <w:tab w:val="left" w:pos="567"/>
        </w:tabs>
        <w:spacing w:after="0" w:line="360" w:lineRule="auto"/>
        <w:ind w:left="567"/>
        <w:contextualSpacing w:val="0"/>
        <w:jc w:val="both"/>
        <w:rPr>
          <w:rFonts w:ascii="David" w:hAnsi="David" w:cs="David"/>
          <w:sz w:val="24"/>
          <w:szCs w:val="24"/>
        </w:rPr>
      </w:pPr>
    </w:p>
    <w:p w:rsidR="00851E06" w:rsidRDefault="00570148" w:rsidP="005D7C89">
      <w:pPr>
        <w:pStyle w:val="ad"/>
        <w:numPr>
          <w:ilvl w:val="0"/>
          <w:numId w:val="1"/>
        </w:numPr>
        <w:tabs>
          <w:tab w:val="left" w:pos="567"/>
        </w:tabs>
        <w:spacing w:after="0" w:line="360" w:lineRule="auto"/>
        <w:ind w:left="567" w:hanging="567"/>
        <w:contextualSpacing w:val="0"/>
        <w:jc w:val="both"/>
        <w:rPr>
          <w:rFonts w:ascii="David" w:hAnsi="David" w:cs="David"/>
          <w:sz w:val="24"/>
          <w:szCs w:val="24"/>
        </w:rPr>
      </w:pPr>
      <w:r>
        <w:rPr>
          <w:rFonts w:ascii="David" w:hAnsi="David" w:cs="David"/>
          <w:sz w:val="24"/>
          <w:szCs w:val="24"/>
          <w:rtl/>
        </w:rPr>
        <w:t xml:space="preserve"> </w:t>
      </w:r>
      <w:r>
        <w:rPr>
          <w:rFonts w:ascii="David" w:hAnsi="David" w:cs="David"/>
          <w:sz w:val="24"/>
          <w:szCs w:val="24"/>
          <w:rtl/>
        </w:rPr>
        <w:tab/>
        <w:t>בהמשך לכך, ביום 11.10.2020, הועברו התיקים מהרשם לענייני ירושה לבית משפט זה.</w:t>
      </w:r>
    </w:p>
    <w:p w:rsidR="00851E06" w:rsidRPr="00851E06" w:rsidRDefault="00851E06" w:rsidP="005D7C89">
      <w:pPr>
        <w:pStyle w:val="ad"/>
        <w:spacing w:after="0"/>
        <w:contextualSpacing w:val="0"/>
        <w:rPr>
          <w:rFonts w:ascii="David" w:hAnsi="David" w:cs="David"/>
          <w:sz w:val="24"/>
          <w:szCs w:val="24"/>
          <w:rtl/>
        </w:rPr>
      </w:pPr>
    </w:p>
    <w:p w:rsidR="00570148" w:rsidRDefault="00570148" w:rsidP="005D7C89">
      <w:pPr>
        <w:pStyle w:val="ad"/>
        <w:numPr>
          <w:ilvl w:val="0"/>
          <w:numId w:val="1"/>
        </w:numPr>
        <w:tabs>
          <w:tab w:val="left" w:pos="567"/>
        </w:tabs>
        <w:spacing w:after="0" w:line="360" w:lineRule="auto"/>
        <w:ind w:left="567" w:hanging="567"/>
        <w:contextualSpacing w:val="0"/>
        <w:jc w:val="both"/>
        <w:rPr>
          <w:rFonts w:ascii="David" w:hAnsi="David" w:cs="David"/>
          <w:sz w:val="24"/>
          <w:szCs w:val="24"/>
        </w:rPr>
      </w:pPr>
      <w:r>
        <w:rPr>
          <w:rFonts w:ascii="David" w:hAnsi="David" w:cs="David"/>
          <w:sz w:val="24"/>
          <w:szCs w:val="24"/>
          <w:rtl/>
        </w:rPr>
        <w:tab/>
        <w:t xml:space="preserve">ביום 10.3.2022, הועבר התיק לטיפולי, נוכח שינויים ארגוניים בבתי המשפט למשפחה במחוז דרום, ובהנחיית הנשיא דאז, כב' השופט אלון גביזון. </w:t>
      </w:r>
    </w:p>
    <w:p w:rsidR="00851E06" w:rsidRDefault="00851E06" w:rsidP="005D7C89">
      <w:pPr>
        <w:pStyle w:val="ad"/>
        <w:tabs>
          <w:tab w:val="left" w:pos="567"/>
        </w:tabs>
        <w:spacing w:after="0" w:line="360" w:lineRule="auto"/>
        <w:ind w:left="567"/>
        <w:contextualSpacing w:val="0"/>
        <w:jc w:val="both"/>
        <w:rPr>
          <w:rFonts w:ascii="David" w:hAnsi="David" w:cs="David"/>
          <w:sz w:val="24"/>
          <w:szCs w:val="24"/>
        </w:rPr>
      </w:pPr>
    </w:p>
    <w:p w:rsidR="00570148" w:rsidRDefault="00570148" w:rsidP="005D7C89">
      <w:pPr>
        <w:pStyle w:val="ad"/>
        <w:numPr>
          <w:ilvl w:val="0"/>
          <w:numId w:val="1"/>
        </w:numPr>
        <w:tabs>
          <w:tab w:val="left" w:pos="567"/>
        </w:tabs>
        <w:spacing w:after="0" w:line="360" w:lineRule="auto"/>
        <w:ind w:left="567" w:hanging="567"/>
        <w:contextualSpacing w:val="0"/>
        <w:jc w:val="both"/>
        <w:rPr>
          <w:rFonts w:ascii="David" w:hAnsi="David" w:cs="David"/>
          <w:sz w:val="24"/>
          <w:szCs w:val="24"/>
        </w:rPr>
      </w:pPr>
      <w:r>
        <w:rPr>
          <w:rFonts w:ascii="David" w:hAnsi="David" w:cs="David"/>
          <w:sz w:val="24"/>
          <w:szCs w:val="24"/>
          <w:rtl/>
        </w:rPr>
        <w:t xml:space="preserve"> </w:t>
      </w:r>
      <w:r>
        <w:rPr>
          <w:rFonts w:ascii="David" w:hAnsi="David" w:cs="David"/>
          <w:sz w:val="24"/>
          <w:szCs w:val="24"/>
          <w:rtl/>
        </w:rPr>
        <w:tab/>
        <w:t>ניסיונות בית המשפט, הן במותבו הקודם (כב' השופט בן שלו) והן במותבו הנוכחי, להביא הצדדים להסכמות, לא נשאו פרי וכל צד נאחז בעמדותיו. משכך, נקבעו ההליכים לשמיעת ראיות; התקיימו שתי ישיבות הוכחות במסגרתן נשמעו עדויות הצדדים והעדים מטעמן, ובתומן הגישו באי כוח הצדדים סיכומי טענותיהם בכתב.</w:t>
      </w:r>
    </w:p>
    <w:p w:rsidR="00851E06" w:rsidRPr="00851E06" w:rsidRDefault="00851E06" w:rsidP="005D7C89">
      <w:pPr>
        <w:tabs>
          <w:tab w:val="left" w:pos="567"/>
        </w:tabs>
        <w:spacing w:line="360" w:lineRule="auto"/>
        <w:jc w:val="both"/>
        <w:rPr>
          <w:rFonts w:ascii="David" w:hAnsi="David"/>
        </w:rPr>
      </w:pPr>
    </w:p>
    <w:p w:rsidR="00570148" w:rsidRDefault="00570148" w:rsidP="005D7C89">
      <w:pPr>
        <w:tabs>
          <w:tab w:val="left" w:pos="567"/>
        </w:tabs>
        <w:spacing w:line="360" w:lineRule="auto"/>
        <w:ind w:left="567" w:hanging="567"/>
        <w:jc w:val="both"/>
        <w:rPr>
          <w:rFonts w:ascii="David" w:hAnsi="David"/>
          <w:b/>
          <w:bCs/>
          <w:rtl/>
        </w:rPr>
      </w:pPr>
      <w:r>
        <w:rPr>
          <w:rFonts w:ascii="David" w:hAnsi="David"/>
          <w:b/>
          <w:bCs/>
          <w:u w:val="single"/>
          <w:rtl/>
        </w:rPr>
        <w:t>השתלשלות ההליכים בעניינם של הצדדים</w:t>
      </w:r>
      <w:r>
        <w:rPr>
          <w:rFonts w:ascii="David" w:hAnsi="David"/>
          <w:b/>
          <w:bCs/>
          <w:rtl/>
        </w:rPr>
        <w:t>:</w:t>
      </w:r>
    </w:p>
    <w:p w:rsidR="00851E06" w:rsidRDefault="00851E06" w:rsidP="005D7C89">
      <w:pPr>
        <w:tabs>
          <w:tab w:val="left" w:pos="567"/>
        </w:tabs>
        <w:spacing w:line="360" w:lineRule="auto"/>
        <w:ind w:left="567" w:hanging="567"/>
        <w:jc w:val="both"/>
        <w:rPr>
          <w:rFonts w:ascii="David" w:hAnsi="David"/>
          <w:b/>
          <w:bCs/>
          <w:u w:val="single"/>
        </w:rPr>
      </w:pPr>
    </w:p>
    <w:p w:rsidR="00570148" w:rsidRDefault="00570148" w:rsidP="005D7C89">
      <w:pPr>
        <w:pStyle w:val="ad"/>
        <w:numPr>
          <w:ilvl w:val="0"/>
          <w:numId w:val="1"/>
        </w:numPr>
        <w:tabs>
          <w:tab w:val="left" w:pos="567"/>
        </w:tabs>
        <w:spacing w:after="0" w:line="360" w:lineRule="auto"/>
        <w:ind w:left="567" w:hanging="567"/>
        <w:contextualSpacing w:val="0"/>
        <w:jc w:val="both"/>
        <w:rPr>
          <w:rFonts w:ascii="David" w:hAnsi="David" w:cs="David"/>
          <w:b/>
          <w:bCs/>
          <w:sz w:val="24"/>
          <w:szCs w:val="24"/>
          <w:u w:val="single"/>
          <w:rtl/>
        </w:rPr>
      </w:pPr>
      <w:r>
        <w:rPr>
          <w:rFonts w:ascii="David" w:hAnsi="David" w:cs="David"/>
          <w:sz w:val="24"/>
          <w:szCs w:val="24"/>
          <w:rtl/>
        </w:rPr>
        <w:t xml:space="preserve"> </w:t>
      </w:r>
      <w:r>
        <w:rPr>
          <w:rFonts w:ascii="David" w:hAnsi="David" w:cs="David"/>
          <w:sz w:val="24"/>
          <w:szCs w:val="24"/>
          <w:rtl/>
        </w:rPr>
        <w:tab/>
        <w:t>טרם פתיחתם של ההליכים שבכותרת, נוהלו בין הצדדים הליכים נוספים שאת עיקרם אביא להלן.</w:t>
      </w:r>
    </w:p>
    <w:p w:rsidR="00851E06" w:rsidRPr="00851E06" w:rsidRDefault="00851E06" w:rsidP="005D7C89">
      <w:pPr>
        <w:pStyle w:val="ad"/>
        <w:tabs>
          <w:tab w:val="left" w:pos="567"/>
        </w:tabs>
        <w:spacing w:after="0" w:line="360" w:lineRule="auto"/>
        <w:ind w:left="567"/>
        <w:contextualSpacing w:val="0"/>
        <w:jc w:val="both"/>
        <w:rPr>
          <w:rFonts w:ascii="David" w:hAnsi="David" w:cs="David"/>
          <w:b/>
          <w:bCs/>
          <w:sz w:val="24"/>
          <w:szCs w:val="24"/>
          <w:u w:val="single"/>
        </w:rPr>
      </w:pPr>
    </w:p>
    <w:p w:rsidR="00570148" w:rsidRDefault="00570148" w:rsidP="005D7C89">
      <w:pPr>
        <w:pStyle w:val="ad"/>
        <w:numPr>
          <w:ilvl w:val="0"/>
          <w:numId w:val="1"/>
        </w:numPr>
        <w:tabs>
          <w:tab w:val="left" w:pos="567"/>
        </w:tabs>
        <w:spacing w:after="0" w:line="360" w:lineRule="auto"/>
        <w:ind w:left="567" w:hanging="567"/>
        <w:contextualSpacing w:val="0"/>
        <w:jc w:val="both"/>
        <w:rPr>
          <w:rFonts w:ascii="David" w:hAnsi="David" w:cs="David"/>
          <w:b/>
          <w:bCs/>
          <w:sz w:val="24"/>
          <w:szCs w:val="24"/>
          <w:u w:val="single"/>
        </w:rPr>
      </w:pPr>
      <w:r>
        <w:rPr>
          <w:rFonts w:ascii="David" w:hAnsi="David" w:cs="David"/>
          <w:sz w:val="24"/>
          <w:szCs w:val="24"/>
          <w:rtl/>
        </w:rPr>
        <w:t xml:space="preserve"> </w:t>
      </w:r>
      <w:r>
        <w:rPr>
          <w:rFonts w:ascii="David" w:hAnsi="David" w:cs="David"/>
          <w:sz w:val="24"/>
          <w:szCs w:val="24"/>
          <w:rtl/>
        </w:rPr>
        <w:tab/>
        <w:t xml:space="preserve">טרם הלך המנוח לבית עולמו, עתרו המשיבות 1 ו-2 (אשתו ובתו של המנוח), בבקשה דחופה למינוין כאפוטרופוסיות באופן זמני על גופו ורכושו (א"פ 41904-09-15). בגדרי הליך זה מונתה המשיבה 2 כאפוטרופסה באופן זמני על גופו של המנוח. </w:t>
      </w:r>
    </w:p>
    <w:p w:rsidR="00851E06" w:rsidRDefault="00851E06" w:rsidP="005D7C89">
      <w:pPr>
        <w:pStyle w:val="ad"/>
        <w:tabs>
          <w:tab w:val="left" w:pos="567"/>
        </w:tabs>
        <w:spacing w:after="0" w:line="360" w:lineRule="auto"/>
        <w:ind w:left="567"/>
        <w:contextualSpacing w:val="0"/>
        <w:jc w:val="both"/>
        <w:rPr>
          <w:rFonts w:ascii="David" w:hAnsi="David" w:cs="David"/>
          <w:sz w:val="24"/>
          <w:szCs w:val="24"/>
          <w:rtl/>
        </w:rPr>
      </w:pPr>
    </w:p>
    <w:p w:rsidR="00570148" w:rsidRDefault="00570148" w:rsidP="005D7C89">
      <w:pPr>
        <w:pStyle w:val="ad"/>
        <w:tabs>
          <w:tab w:val="left" w:pos="567"/>
        </w:tabs>
        <w:spacing w:after="0" w:line="360" w:lineRule="auto"/>
        <w:ind w:left="567"/>
        <w:contextualSpacing w:val="0"/>
        <w:jc w:val="both"/>
        <w:rPr>
          <w:rFonts w:ascii="David" w:hAnsi="David" w:cs="David"/>
          <w:sz w:val="24"/>
          <w:szCs w:val="24"/>
        </w:rPr>
      </w:pPr>
      <w:r>
        <w:rPr>
          <w:rFonts w:ascii="David" w:hAnsi="David" w:cs="David"/>
          <w:sz w:val="24"/>
          <w:szCs w:val="24"/>
          <w:rtl/>
        </w:rPr>
        <w:t>עם תום המינוי הזמני, עתרו המשיבות 1 ו-2 בבקשה למנותן כאפוטרופוסיות של קבע על גופו ורכושו של המנוח (א"פ 8177-10-15, להלן: "</w:t>
      </w:r>
      <w:r>
        <w:rPr>
          <w:rFonts w:ascii="David" w:hAnsi="David" w:cs="David"/>
          <w:b/>
          <w:bCs/>
          <w:sz w:val="24"/>
          <w:szCs w:val="24"/>
          <w:rtl/>
        </w:rPr>
        <w:t>הליך האפוטרופסות</w:t>
      </w:r>
      <w:r>
        <w:rPr>
          <w:rFonts w:ascii="David" w:hAnsi="David" w:cs="David"/>
          <w:sz w:val="24"/>
          <w:szCs w:val="24"/>
          <w:rtl/>
        </w:rPr>
        <w:t>"). בתגובת המנוח, שהוגשה באמצעות בא כוחו עוה"ד דן מלכיאלי, התנגד המנוח לבקשה וטען כי הוא מסוגל לדאוג לענייניו ולהביע את רצונו; כי הליך האפוטרופסות לא ננקט אלא על רקע גילוי וחשיפת הקשר בינו לבין המתנגדת ורצונו לשהות במחיצתה במהלך השבוע, וכי כל מטרת הליך האפוטרופסות שיזמה משפחתו נועד להרחיקו מהמתנגדת ולהשתלט על נכסיו.</w:t>
      </w:r>
    </w:p>
    <w:p w:rsidR="00851E06" w:rsidRDefault="00570148" w:rsidP="005D7C89">
      <w:pPr>
        <w:pStyle w:val="ad"/>
        <w:tabs>
          <w:tab w:val="left" w:pos="567"/>
        </w:tabs>
        <w:spacing w:after="0" w:line="360" w:lineRule="auto"/>
        <w:ind w:left="567" w:hanging="567"/>
        <w:contextualSpacing w:val="0"/>
        <w:jc w:val="both"/>
        <w:rPr>
          <w:rFonts w:ascii="David" w:hAnsi="David" w:cs="David"/>
          <w:sz w:val="24"/>
          <w:szCs w:val="24"/>
          <w:rtl/>
        </w:rPr>
      </w:pPr>
      <w:r>
        <w:rPr>
          <w:rFonts w:ascii="David" w:hAnsi="David" w:cs="David"/>
          <w:sz w:val="24"/>
          <w:szCs w:val="24"/>
          <w:rtl/>
        </w:rPr>
        <w:tab/>
      </w:r>
    </w:p>
    <w:p w:rsidR="00570148" w:rsidRDefault="00851E06" w:rsidP="005D7C89">
      <w:pPr>
        <w:pStyle w:val="ad"/>
        <w:tabs>
          <w:tab w:val="left" w:pos="567"/>
        </w:tabs>
        <w:spacing w:after="0" w:line="360" w:lineRule="auto"/>
        <w:ind w:left="567" w:hanging="567"/>
        <w:contextualSpacing w:val="0"/>
        <w:jc w:val="both"/>
        <w:rPr>
          <w:rFonts w:ascii="David" w:hAnsi="David" w:cs="David"/>
          <w:sz w:val="24"/>
          <w:szCs w:val="24"/>
        </w:rPr>
      </w:pPr>
      <w:r>
        <w:rPr>
          <w:rFonts w:ascii="David" w:hAnsi="David" w:cs="David"/>
          <w:sz w:val="24"/>
          <w:szCs w:val="24"/>
          <w:rtl/>
        </w:rPr>
        <w:tab/>
      </w:r>
      <w:r w:rsidR="00570148">
        <w:rPr>
          <w:rFonts w:ascii="David" w:hAnsi="David" w:cs="David"/>
          <w:sz w:val="24"/>
          <w:szCs w:val="24"/>
          <w:rtl/>
        </w:rPr>
        <w:t xml:space="preserve">בתמצית ייאמר, כי הליך האפוטרופסות התנהל כ-3 שנים, במסגרתו נדונו מחלוקות שונות, לרבות בשאלת מצבו הקוגניטיבי של המנוח ובשאלת זהות האפוטרופוס שימונה. </w:t>
      </w:r>
    </w:p>
    <w:p w:rsidR="00851E06" w:rsidRDefault="00570148" w:rsidP="005D7C89">
      <w:pPr>
        <w:pStyle w:val="ad"/>
        <w:tabs>
          <w:tab w:val="left" w:pos="567"/>
        </w:tabs>
        <w:spacing w:after="0" w:line="360" w:lineRule="auto"/>
        <w:ind w:left="567" w:hanging="567"/>
        <w:contextualSpacing w:val="0"/>
        <w:jc w:val="both"/>
        <w:rPr>
          <w:rFonts w:ascii="David" w:hAnsi="David" w:cs="David"/>
          <w:sz w:val="24"/>
          <w:szCs w:val="24"/>
          <w:rtl/>
        </w:rPr>
      </w:pPr>
      <w:r>
        <w:rPr>
          <w:rFonts w:ascii="David" w:hAnsi="David" w:cs="David"/>
          <w:sz w:val="24"/>
          <w:szCs w:val="24"/>
          <w:rtl/>
        </w:rPr>
        <w:tab/>
      </w:r>
    </w:p>
    <w:p w:rsidR="00570148" w:rsidRDefault="00851E06" w:rsidP="005D7C89">
      <w:pPr>
        <w:pStyle w:val="ad"/>
        <w:tabs>
          <w:tab w:val="left" w:pos="567"/>
        </w:tabs>
        <w:spacing w:after="0" w:line="360" w:lineRule="auto"/>
        <w:ind w:left="567" w:hanging="567"/>
        <w:contextualSpacing w:val="0"/>
        <w:jc w:val="both"/>
        <w:rPr>
          <w:rFonts w:ascii="David" w:hAnsi="David" w:cs="David"/>
          <w:sz w:val="24"/>
          <w:szCs w:val="24"/>
          <w:rtl/>
        </w:rPr>
      </w:pPr>
      <w:r>
        <w:rPr>
          <w:rFonts w:ascii="David" w:hAnsi="David" w:cs="David"/>
          <w:sz w:val="24"/>
          <w:szCs w:val="24"/>
          <w:rtl/>
        </w:rPr>
        <w:tab/>
      </w:r>
      <w:r w:rsidR="00570148">
        <w:rPr>
          <w:rFonts w:ascii="David" w:hAnsi="David" w:cs="David"/>
          <w:sz w:val="24"/>
          <w:szCs w:val="24"/>
          <w:rtl/>
        </w:rPr>
        <w:t xml:space="preserve">בסופו של </w:t>
      </w:r>
      <w:r>
        <w:rPr>
          <w:rFonts w:ascii="David" w:hAnsi="David" w:cs="David" w:hint="cs"/>
          <w:sz w:val="24"/>
          <w:szCs w:val="24"/>
          <w:rtl/>
        </w:rPr>
        <w:t>דבר</w:t>
      </w:r>
      <w:r w:rsidR="00570148">
        <w:rPr>
          <w:rFonts w:ascii="David" w:hAnsi="David" w:cs="David"/>
          <w:sz w:val="24"/>
          <w:szCs w:val="24"/>
          <w:rtl/>
        </w:rPr>
        <w:t xml:space="preserve">, ביום 24.7.2017, מונו המשיבות 1 ו-2 כאפוטרופוסיות של קבע על ענייניו הרפואיים, האישיים והרכושיים של המנוח. </w:t>
      </w:r>
    </w:p>
    <w:p w:rsidR="00570148" w:rsidRDefault="00570148" w:rsidP="005D7C89">
      <w:pPr>
        <w:pStyle w:val="ad"/>
        <w:numPr>
          <w:ilvl w:val="0"/>
          <w:numId w:val="1"/>
        </w:numPr>
        <w:tabs>
          <w:tab w:val="left" w:pos="567"/>
        </w:tabs>
        <w:spacing w:after="0" w:line="360" w:lineRule="auto"/>
        <w:ind w:left="567" w:hanging="567"/>
        <w:contextualSpacing w:val="0"/>
        <w:jc w:val="both"/>
        <w:rPr>
          <w:rFonts w:ascii="David" w:hAnsi="David" w:cs="David"/>
          <w:sz w:val="24"/>
          <w:szCs w:val="24"/>
          <w:rtl/>
        </w:rPr>
      </w:pPr>
      <w:r>
        <w:rPr>
          <w:rFonts w:ascii="David" w:hAnsi="David" w:cs="David"/>
          <w:sz w:val="24"/>
          <w:szCs w:val="24"/>
          <w:rtl/>
        </w:rPr>
        <w:t xml:space="preserve"> </w:t>
      </w:r>
      <w:r>
        <w:rPr>
          <w:rFonts w:ascii="David" w:hAnsi="David" w:cs="David"/>
          <w:sz w:val="24"/>
          <w:szCs w:val="24"/>
          <w:rtl/>
        </w:rPr>
        <w:tab/>
        <w:t>כפי שפורט לעיל, המנוח הלך לבית עולמו ביום 1.4.2018.</w:t>
      </w:r>
    </w:p>
    <w:p w:rsidR="00851E06" w:rsidRDefault="00851E06" w:rsidP="005D7C89">
      <w:pPr>
        <w:pStyle w:val="ad"/>
        <w:tabs>
          <w:tab w:val="left" w:pos="567"/>
        </w:tabs>
        <w:spacing w:after="0" w:line="360" w:lineRule="auto"/>
        <w:ind w:left="567"/>
        <w:contextualSpacing w:val="0"/>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p>
    <w:p w:rsidR="00570148" w:rsidRDefault="00851E06" w:rsidP="00A64892">
      <w:pPr>
        <w:pStyle w:val="ad"/>
        <w:numPr>
          <w:ilvl w:val="0"/>
          <w:numId w:val="1"/>
        </w:numPr>
        <w:tabs>
          <w:tab w:val="left" w:pos="567"/>
        </w:tabs>
        <w:spacing w:after="0" w:line="360" w:lineRule="auto"/>
        <w:ind w:left="567" w:hanging="567"/>
        <w:contextualSpacing w:val="0"/>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570148">
        <w:rPr>
          <w:rFonts w:ascii="David" w:hAnsi="David" w:cs="David"/>
          <w:sz w:val="24"/>
          <w:szCs w:val="24"/>
          <w:rtl/>
        </w:rPr>
        <w:t xml:space="preserve">ביום 28.6.2018, מונה אחיו של המנוח, מר </w:t>
      </w:r>
      <w:r w:rsidR="00A64892">
        <w:rPr>
          <w:rFonts w:ascii="David" w:hAnsi="David" w:cs="David" w:hint="cs"/>
          <w:sz w:val="24"/>
          <w:szCs w:val="24"/>
          <w:rtl/>
        </w:rPr>
        <w:t>א'. ה</w:t>
      </w:r>
      <w:r w:rsidR="00570148">
        <w:rPr>
          <w:rFonts w:ascii="David" w:hAnsi="David" w:cs="David"/>
          <w:sz w:val="24"/>
          <w:szCs w:val="24"/>
          <w:rtl/>
        </w:rPr>
        <w:t xml:space="preserve"> (להלן: "</w:t>
      </w:r>
      <w:r w:rsidR="00570148">
        <w:rPr>
          <w:rFonts w:ascii="David" w:hAnsi="David" w:cs="David"/>
          <w:b/>
          <w:bCs/>
          <w:sz w:val="24"/>
          <w:szCs w:val="24"/>
          <w:rtl/>
        </w:rPr>
        <w:t>אחיו של המנוח</w:t>
      </w:r>
      <w:r w:rsidR="00570148">
        <w:rPr>
          <w:rFonts w:ascii="David" w:hAnsi="David" w:cs="David"/>
          <w:sz w:val="24"/>
          <w:szCs w:val="24"/>
          <w:rtl/>
        </w:rPr>
        <w:t>"), לבקשתו, כמנהל עיזבון זמני לעיזבון המנוח (ת"ע 30662-05-18).</w:t>
      </w:r>
    </w:p>
    <w:p w:rsidR="00851E06" w:rsidRDefault="00570148" w:rsidP="005D7C89">
      <w:pPr>
        <w:pStyle w:val="ad"/>
        <w:tabs>
          <w:tab w:val="left" w:pos="567"/>
        </w:tabs>
        <w:spacing w:after="0" w:line="360" w:lineRule="auto"/>
        <w:ind w:left="567"/>
        <w:contextualSpacing w:val="0"/>
        <w:jc w:val="both"/>
        <w:rPr>
          <w:rFonts w:ascii="David" w:hAnsi="David" w:cs="David"/>
          <w:sz w:val="24"/>
          <w:szCs w:val="24"/>
        </w:rPr>
      </w:pPr>
      <w:r>
        <w:rPr>
          <w:rFonts w:ascii="David" w:hAnsi="David" w:cs="David"/>
          <w:sz w:val="24"/>
          <w:szCs w:val="24"/>
          <w:rtl/>
        </w:rPr>
        <w:t xml:space="preserve"> </w:t>
      </w:r>
      <w:r>
        <w:rPr>
          <w:rFonts w:ascii="David" w:hAnsi="David" w:cs="David"/>
          <w:sz w:val="24"/>
          <w:szCs w:val="24"/>
          <w:rtl/>
        </w:rPr>
        <w:tab/>
      </w:r>
    </w:p>
    <w:p w:rsidR="00570148" w:rsidRDefault="00851E06" w:rsidP="005D7C89">
      <w:pPr>
        <w:pStyle w:val="ad"/>
        <w:numPr>
          <w:ilvl w:val="0"/>
          <w:numId w:val="1"/>
        </w:numPr>
        <w:tabs>
          <w:tab w:val="left" w:pos="567"/>
        </w:tabs>
        <w:spacing w:after="0" w:line="360" w:lineRule="auto"/>
        <w:ind w:left="567" w:hanging="567"/>
        <w:contextualSpacing w:val="0"/>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570148">
        <w:rPr>
          <w:rFonts w:ascii="David" w:hAnsi="David" w:cs="David"/>
          <w:sz w:val="24"/>
          <w:szCs w:val="24"/>
          <w:rtl/>
        </w:rPr>
        <w:t>ביום 1.7.2018 הגיש אחיו של המנוח לרשם לענייני ירושה בבאר שבע בקשה לקיום צוואת המנוח מיום 21.9.2015 (ת"ע 59757-04-19). המתנגדת בהליך דנן, הגישה התנגדותה גם לבקשה זו. ההתנגדות נמחקה על הסף על ידי הרשם לענייני ירושה בהחלטתו מיום 26.11.2018, מן הטעם שהמתנגדת נעדרת זכות עמידה להתנגד לקיום צוואת המנוח. כפועל יוצא, ניתן על ידי הרשם לענייני ירושה צו לקיום צוואת המנוח.</w:t>
      </w:r>
    </w:p>
    <w:p w:rsidR="00851E06" w:rsidRDefault="00570148" w:rsidP="005D7C89">
      <w:pPr>
        <w:pStyle w:val="ad"/>
        <w:tabs>
          <w:tab w:val="left" w:pos="567"/>
        </w:tabs>
        <w:spacing w:after="0" w:line="360" w:lineRule="auto"/>
        <w:ind w:left="567"/>
        <w:contextualSpacing w:val="0"/>
        <w:jc w:val="both"/>
        <w:rPr>
          <w:rFonts w:ascii="David" w:hAnsi="David" w:cs="David"/>
          <w:sz w:val="24"/>
          <w:szCs w:val="24"/>
        </w:rPr>
      </w:pPr>
      <w:r>
        <w:rPr>
          <w:rFonts w:ascii="David" w:hAnsi="David" w:cs="David"/>
          <w:sz w:val="24"/>
          <w:szCs w:val="24"/>
          <w:rtl/>
        </w:rPr>
        <w:t xml:space="preserve"> </w:t>
      </w:r>
      <w:r>
        <w:rPr>
          <w:rFonts w:ascii="David" w:hAnsi="David" w:cs="David"/>
          <w:sz w:val="24"/>
          <w:szCs w:val="24"/>
          <w:rtl/>
        </w:rPr>
        <w:tab/>
      </w:r>
    </w:p>
    <w:p w:rsidR="00570148" w:rsidRDefault="00851E06" w:rsidP="005D7C89">
      <w:pPr>
        <w:pStyle w:val="ad"/>
        <w:numPr>
          <w:ilvl w:val="0"/>
          <w:numId w:val="1"/>
        </w:numPr>
        <w:tabs>
          <w:tab w:val="left" w:pos="567"/>
        </w:tabs>
        <w:spacing w:after="0" w:line="360" w:lineRule="auto"/>
        <w:ind w:left="567" w:hanging="567"/>
        <w:contextualSpacing w:val="0"/>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570148">
        <w:rPr>
          <w:rFonts w:ascii="David" w:hAnsi="David" w:cs="David"/>
          <w:sz w:val="24"/>
          <w:szCs w:val="24"/>
          <w:rtl/>
        </w:rPr>
        <w:t xml:space="preserve">ערעור שהגישה המתנגדת על החלטת רשם הירושה הנ"ל (ע"ר 20850-12-18) התקבל בפסק דין מיום 26.3.2019 (כב' השופט בן שלו) ונקבע שההתנגדות לקיום צוואת המנוח מיום 21.9.2015 תתברר לגופה. ואכן, ביום 22.6.2020, ניתן, על יסוד הסכמת הצדדים, פסק דין בת"ע 6455-04-19, לפיו </w:t>
      </w:r>
      <w:r w:rsidR="00570148">
        <w:rPr>
          <w:rFonts w:ascii="David" w:hAnsi="David" w:cs="David"/>
          <w:b/>
          <w:bCs/>
          <w:sz w:val="24"/>
          <w:szCs w:val="24"/>
          <w:rtl/>
        </w:rPr>
        <w:t>הבקשה לקיום צוואת המנוח נדחתה</w:t>
      </w:r>
      <w:r w:rsidR="00570148">
        <w:rPr>
          <w:rFonts w:ascii="David" w:hAnsi="David" w:cs="David"/>
          <w:sz w:val="24"/>
          <w:szCs w:val="24"/>
          <w:rtl/>
        </w:rPr>
        <w:t xml:space="preserve">. </w:t>
      </w:r>
    </w:p>
    <w:p w:rsidR="00851E06" w:rsidRPr="00851E06" w:rsidRDefault="00851E06" w:rsidP="005D7C89">
      <w:pPr>
        <w:pStyle w:val="ad"/>
        <w:spacing w:after="0"/>
        <w:contextualSpacing w:val="0"/>
        <w:rPr>
          <w:rFonts w:ascii="David" w:hAnsi="David" w:cs="David"/>
          <w:sz w:val="24"/>
          <w:szCs w:val="24"/>
          <w:rtl/>
        </w:rPr>
      </w:pPr>
    </w:p>
    <w:p w:rsidR="00570148" w:rsidRDefault="00570148" w:rsidP="005D7C89">
      <w:pPr>
        <w:pStyle w:val="ad"/>
        <w:numPr>
          <w:ilvl w:val="0"/>
          <w:numId w:val="1"/>
        </w:numPr>
        <w:tabs>
          <w:tab w:val="left" w:pos="567"/>
        </w:tabs>
        <w:spacing w:after="0" w:line="360" w:lineRule="auto"/>
        <w:ind w:left="567" w:hanging="567"/>
        <w:contextualSpacing w:val="0"/>
        <w:jc w:val="both"/>
        <w:rPr>
          <w:rFonts w:ascii="David" w:hAnsi="David" w:cs="David"/>
          <w:sz w:val="24"/>
          <w:szCs w:val="24"/>
        </w:rPr>
      </w:pPr>
      <w:r>
        <w:rPr>
          <w:rFonts w:ascii="David" w:hAnsi="David" w:cs="David"/>
          <w:sz w:val="24"/>
          <w:szCs w:val="24"/>
          <w:rtl/>
        </w:rPr>
        <w:tab/>
        <w:t xml:space="preserve">אחר האמור, פנו המשיבות לרשם לענייני ירושה בבקשה למתן צו ירושה אחר המנוח. </w:t>
      </w:r>
    </w:p>
    <w:p w:rsidR="00851E06" w:rsidRDefault="00570148" w:rsidP="005D7C89">
      <w:pPr>
        <w:pStyle w:val="ad"/>
        <w:tabs>
          <w:tab w:val="left" w:pos="567"/>
        </w:tabs>
        <w:spacing w:after="0" w:line="360" w:lineRule="auto"/>
        <w:ind w:left="567"/>
        <w:contextualSpacing w:val="0"/>
        <w:jc w:val="both"/>
        <w:rPr>
          <w:rFonts w:ascii="David" w:hAnsi="David" w:cs="David"/>
          <w:sz w:val="24"/>
          <w:szCs w:val="24"/>
        </w:rPr>
      </w:pPr>
      <w:r>
        <w:rPr>
          <w:rFonts w:ascii="David" w:hAnsi="David" w:cs="David"/>
          <w:sz w:val="24"/>
          <w:szCs w:val="24"/>
          <w:rtl/>
        </w:rPr>
        <w:t xml:space="preserve"> </w:t>
      </w:r>
      <w:r>
        <w:rPr>
          <w:rFonts w:ascii="David" w:hAnsi="David" w:cs="David"/>
          <w:sz w:val="24"/>
          <w:szCs w:val="24"/>
          <w:rtl/>
        </w:rPr>
        <w:tab/>
      </w:r>
    </w:p>
    <w:p w:rsidR="00570148" w:rsidRDefault="00851E06" w:rsidP="005D7C89">
      <w:pPr>
        <w:pStyle w:val="ad"/>
        <w:numPr>
          <w:ilvl w:val="0"/>
          <w:numId w:val="1"/>
        </w:numPr>
        <w:tabs>
          <w:tab w:val="left" w:pos="567"/>
        </w:tabs>
        <w:spacing w:after="0" w:line="360" w:lineRule="auto"/>
        <w:ind w:left="567" w:hanging="567"/>
        <w:contextualSpacing w:val="0"/>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570148">
        <w:rPr>
          <w:rFonts w:ascii="David" w:hAnsi="David" w:cs="David"/>
          <w:sz w:val="24"/>
          <w:szCs w:val="24"/>
          <w:rtl/>
        </w:rPr>
        <w:t>בין לבין, ביום 7.1.2019, הגישה המתנגדת תביעה למתן פסק דין הצהרתי (תמ"ש 15249-01-19) במסגרתו עתרה לקבוע שהיא הייתה בת זוגו של המנוח והידועה בציבור שלו ובתוך כך זכאית למחצית מהרכוש שנצבר על ידו במהלך חייהם המשותפים. תביעה זו נמחקה בהחלטה מיום 18.4.2019.</w:t>
      </w:r>
    </w:p>
    <w:p w:rsidR="00851E06" w:rsidRDefault="00570148" w:rsidP="005D7C89">
      <w:pPr>
        <w:pStyle w:val="ad"/>
        <w:tabs>
          <w:tab w:val="left" w:pos="567"/>
        </w:tabs>
        <w:spacing w:after="0" w:line="360" w:lineRule="auto"/>
        <w:ind w:left="567"/>
        <w:contextualSpacing w:val="0"/>
        <w:jc w:val="both"/>
        <w:rPr>
          <w:rFonts w:ascii="David" w:hAnsi="David" w:cs="David"/>
          <w:sz w:val="24"/>
          <w:szCs w:val="24"/>
        </w:rPr>
      </w:pPr>
      <w:r>
        <w:rPr>
          <w:rFonts w:ascii="David" w:hAnsi="David" w:cs="David"/>
          <w:sz w:val="24"/>
          <w:szCs w:val="24"/>
          <w:rtl/>
        </w:rPr>
        <w:t xml:space="preserve"> </w:t>
      </w:r>
      <w:r>
        <w:rPr>
          <w:rFonts w:ascii="David" w:hAnsi="David" w:cs="David"/>
          <w:sz w:val="24"/>
          <w:szCs w:val="24"/>
          <w:rtl/>
        </w:rPr>
        <w:tab/>
      </w:r>
    </w:p>
    <w:p w:rsidR="00851E06" w:rsidRPr="00A96D0B" w:rsidRDefault="00851E06" w:rsidP="005D7C89">
      <w:pPr>
        <w:pStyle w:val="ad"/>
        <w:numPr>
          <w:ilvl w:val="0"/>
          <w:numId w:val="1"/>
        </w:numPr>
        <w:tabs>
          <w:tab w:val="left" w:pos="567"/>
        </w:tabs>
        <w:spacing w:after="0" w:line="360" w:lineRule="auto"/>
        <w:ind w:left="567" w:hanging="567"/>
        <w:contextualSpacing w:val="0"/>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570148">
        <w:rPr>
          <w:rFonts w:ascii="David" w:hAnsi="David" w:cs="David"/>
          <w:sz w:val="24"/>
          <w:szCs w:val="24"/>
          <w:rtl/>
        </w:rPr>
        <w:t>ביום 13.6.2019 עתרה המשיבה 1 בתביעה למתן חשבונות כנגד המתנגדת (תמ"ש 28608-06-19), במסגרתה ביקשה קבלת מידע אודות כלל הנכסים, הזכויות והכספים שהמנוח נתן ו/או העביר לה בימי חייו. בהחלטת כב' השופט שלו מיום 15.6.2020 עוכב המשך בירורה של תובענה זו וזאת עד להכרעה בדבר זהות יורשי המנוח.</w:t>
      </w:r>
    </w:p>
    <w:p w:rsidR="00A96D0B" w:rsidRDefault="00A96D0B" w:rsidP="005D7C89">
      <w:pPr>
        <w:pStyle w:val="ad"/>
        <w:tabs>
          <w:tab w:val="left" w:pos="567"/>
        </w:tabs>
        <w:spacing w:after="0" w:line="360" w:lineRule="auto"/>
        <w:ind w:left="567"/>
        <w:contextualSpacing w:val="0"/>
        <w:jc w:val="both"/>
        <w:rPr>
          <w:rFonts w:ascii="David" w:hAnsi="David" w:cs="David"/>
          <w:sz w:val="24"/>
          <w:szCs w:val="24"/>
        </w:rPr>
      </w:pPr>
    </w:p>
    <w:p w:rsidR="00570148" w:rsidRDefault="00570148" w:rsidP="005D7C89">
      <w:pPr>
        <w:pStyle w:val="ad"/>
        <w:numPr>
          <w:ilvl w:val="0"/>
          <w:numId w:val="1"/>
        </w:numPr>
        <w:tabs>
          <w:tab w:val="left" w:pos="567"/>
        </w:tabs>
        <w:spacing w:after="0" w:line="360" w:lineRule="auto"/>
        <w:ind w:left="567" w:hanging="567"/>
        <w:contextualSpacing w:val="0"/>
        <w:jc w:val="both"/>
        <w:rPr>
          <w:rFonts w:ascii="David" w:hAnsi="David" w:cs="David"/>
          <w:sz w:val="24"/>
          <w:szCs w:val="24"/>
        </w:rPr>
      </w:pPr>
      <w:r>
        <w:rPr>
          <w:rFonts w:ascii="David" w:hAnsi="David" w:cs="David"/>
          <w:sz w:val="24"/>
          <w:szCs w:val="24"/>
          <w:rtl/>
        </w:rPr>
        <w:t xml:space="preserve"> </w:t>
      </w:r>
      <w:r>
        <w:rPr>
          <w:rFonts w:ascii="David" w:hAnsi="David" w:cs="David"/>
          <w:sz w:val="24"/>
          <w:szCs w:val="24"/>
          <w:rtl/>
        </w:rPr>
        <w:tab/>
        <w:t>כן הגישה המשיבה 1 תביעה נוספת (תמ"ש 56319-05-20), כנגד בנותיה (המשיבות 2-4 בהליך זה) ונתבעת נוספת, בעניין קביעת זכויותיה כבעלים בחלק מהנכסים שהותיר אחריו המנוח. גם בירורה של תובענה זו עוכב בהחלטת כב' השופט שלו מיום 10.6.2020.</w:t>
      </w:r>
    </w:p>
    <w:p w:rsidR="00A96D0B" w:rsidRDefault="00A96D0B" w:rsidP="005D7C89">
      <w:pPr>
        <w:pStyle w:val="ad"/>
        <w:tabs>
          <w:tab w:val="left" w:pos="567"/>
        </w:tabs>
        <w:spacing w:after="0" w:line="360" w:lineRule="auto"/>
        <w:ind w:left="567"/>
        <w:contextualSpacing w:val="0"/>
        <w:jc w:val="both"/>
        <w:rPr>
          <w:rFonts w:ascii="David" w:hAnsi="David" w:cs="David"/>
          <w:sz w:val="24"/>
          <w:szCs w:val="24"/>
        </w:rPr>
      </w:pPr>
    </w:p>
    <w:p w:rsidR="00570148" w:rsidRDefault="00A96D0B" w:rsidP="005D7C89">
      <w:pPr>
        <w:pStyle w:val="ad"/>
        <w:numPr>
          <w:ilvl w:val="0"/>
          <w:numId w:val="1"/>
        </w:numPr>
        <w:tabs>
          <w:tab w:val="left" w:pos="567"/>
        </w:tabs>
        <w:spacing w:after="0" w:line="360" w:lineRule="auto"/>
        <w:ind w:left="567" w:hanging="567"/>
        <w:contextualSpacing w:val="0"/>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570148">
        <w:rPr>
          <w:rFonts w:ascii="David" w:hAnsi="David" w:cs="David"/>
          <w:sz w:val="24"/>
          <w:szCs w:val="24"/>
          <w:rtl/>
        </w:rPr>
        <w:t xml:space="preserve">בנוסף התנהלו הליכים גם בבית הדין האזורי לעבודה בבאר שבע, בעניין פיטורי המתנגדת מעבודתה בחברה בבעלות המנוח, אשר הוכרעו בפסק דין מיום 4.12.2018 (סע"ש 21605-12-15). </w:t>
      </w:r>
    </w:p>
    <w:p w:rsidR="00A96D0B" w:rsidRPr="00A96D0B" w:rsidRDefault="00A96D0B" w:rsidP="005D7C89">
      <w:pPr>
        <w:pStyle w:val="ad"/>
        <w:spacing w:after="0"/>
        <w:contextualSpacing w:val="0"/>
        <w:rPr>
          <w:rFonts w:ascii="David" w:hAnsi="David" w:cs="David"/>
          <w:sz w:val="24"/>
          <w:szCs w:val="24"/>
          <w:rtl/>
        </w:rPr>
      </w:pPr>
    </w:p>
    <w:p w:rsidR="00570148" w:rsidRDefault="00A96D0B" w:rsidP="005D7C89">
      <w:pPr>
        <w:pStyle w:val="ad"/>
        <w:numPr>
          <w:ilvl w:val="0"/>
          <w:numId w:val="1"/>
        </w:numPr>
        <w:tabs>
          <w:tab w:val="left" w:pos="567"/>
        </w:tabs>
        <w:spacing w:after="0" w:line="360" w:lineRule="auto"/>
        <w:ind w:left="567" w:hanging="567"/>
        <w:contextualSpacing w:val="0"/>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570148">
        <w:rPr>
          <w:rFonts w:ascii="David" w:hAnsi="David" w:cs="David"/>
          <w:sz w:val="24"/>
          <w:szCs w:val="24"/>
          <w:rtl/>
        </w:rPr>
        <w:t xml:space="preserve">עתה, לטענות הצדדים בענייננו – </w:t>
      </w:r>
    </w:p>
    <w:p w:rsidR="00A96D0B" w:rsidRDefault="00A96D0B" w:rsidP="005D7C89">
      <w:pPr>
        <w:tabs>
          <w:tab w:val="left" w:pos="567"/>
        </w:tabs>
        <w:spacing w:line="360" w:lineRule="auto"/>
        <w:ind w:left="567" w:hanging="567"/>
        <w:jc w:val="both"/>
        <w:rPr>
          <w:rFonts w:ascii="David" w:hAnsi="David"/>
          <w:b/>
          <w:bCs/>
          <w:u w:val="single"/>
          <w:rtl/>
        </w:rPr>
      </w:pPr>
    </w:p>
    <w:p w:rsidR="00570148" w:rsidRDefault="00570148" w:rsidP="005D7C89">
      <w:pPr>
        <w:tabs>
          <w:tab w:val="left" w:pos="567"/>
        </w:tabs>
        <w:spacing w:line="360" w:lineRule="auto"/>
        <w:ind w:left="567" w:hanging="567"/>
        <w:jc w:val="both"/>
        <w:rPr>
          <w:rFonts w:ascii="David" w:hAnsi="David"/>
          <w:b/>
          <w:bCs/>
          <w:u w:val="single"/>
          <w:rtl/>
        </w:rPr>
      </w:pPr>
      <w:r>
        <w:rPr>
          <w:rFonts w:ascii="David" w:hAnsi="David"/>
          <w:b/>
          <w:bCs/>
          <w:u w:val="single"/>
          <w:rtl/>
        </w:rPr>
        <w:t>טענות המתנגדת</w:t>
      </w:r>
    </w:p>
    <w:p w:rsidR="00A96D0B" w:rsidRDefault="00A96D0B" w:rsidP="005D7C89">
      <w:pPr>
        <w:tabs>
          <w:tab w:val="left" w:pos="567"/>
        </w:tabs>
        <w:spacing w:line="360" w:lineRule="auto"/>
        <w:ind w:left="567" w:hanging="567"/>
        <w:jc w:val="both"/>
        <w:rPr>
          <w:rFonts w:ascii="David" w:hAnsi="David"/>
          <w:b/>
          <w:bCs/>
          <w:u w:val="single"/>
        </w:rPr>
      </w:pPr>
    </w:p>
    <w:p w:rsidR="00570148" w:rsidRDefault="00570148" w:rsidP="005D7C89">
      <w:pPr>
        <w:pStyle w:val="ad"/>
        <w:numPr>
          <w:ilvl w:val="0"/>
          <w:numId w:val="1"/>
        </w:numPr>
        <w:tabs>
          <w:tab w:val="left" w:pos="567"/>
        </w:tabs>
        <w:spacing w:after="0" w:line="360" w:lineRule="auto"/>
        <w:ind w:left="567" w:hanging="567"/>
        <w:contextualSpacing w:val="0"/>
        <w:jc w:val="both"/>
        <w:rPr>
          <w:rFonts w:ascii="David" w:hAnsi="David" w:cs="David"/>
          <w:sz w:val="24"/>
          <w:szCs w:val="24"/>
        </w:rPr>
      </w:pPr>
      <w:r>
        <w:rPr>
          <w:rFonts w:ascii="David" w:hAnsi="David" w:cs="David"/>
          <w:sz w:val="24"/>
          <w:szCs w:val="24"/>
          <w:rtl/>
        </w:rPr>
        <w:t xml:space="preserve"> </w:t>
      </w:r>
      <w:r>
        <w:rPr>
          <w:rFonts w:ascii="David" w:hAnsi="David" w:cs="David"/>
          <w:sz w:val="24"/>
          <w:szCs w:val="24"/>
          <w:rtl/>
        </w:rPr>
        <w:tab/>
        <w:t xml:space="preserve">המתנגדת עותרת לדחיית הבקשה למתן צו ירושה שהוגשה על ידי המשיבות, בטענה כי היא הייתה בת זוגו של המנוח בעת פטירתו, ועל כן היא זכאית לרשת את מחצית עיזבונו, ויתרתו תחולק בין בנותיו, המשיבות 2-4 בחלקים שווים ביניהן. </w:t>
      </w:r>
    </w:p>
    <w:p w:rsidR="00A96D0B" w:rsidRDefault="00A96D0B" w:rsidP="005D7C89">
      <w:pPr>
        <w:pStyle w:val="ad"/>
        <w:tabs>
          <w:tab w:val="left" w:pos="567"/>
        </w:tabs>
        <w:spacing w:after="0" w:line="360" w:lineRule="auto"/>
        <w:ind w:left="567"/>
        <w:contextualSpacing w:val="0"/>
        <w:jc w:val="both"/>
        <w:rPr>
          <w:rFonts w:ascii="David" w:hAnsi="David" w:cs="David"/>
          <w:sz w:val="24"/>
          <w:szCs w:val="24"/>
          <w:rtl/>
        </w:rPr>
      </w:pPr>
    </w:p>
    <w:p w:rsidR="00570148" w:rsidRDefault="00570148" w:rsidP="005D7C89">
      <w:pPr>
        <w:pStyle w:val="ad"/>
        <w:tabs>
          <w:tab w:val="left" w:pos="567"/>
        </w:tabs>
        <w:spacing w:after="0" w:line="360" w:lineRule="auto"/>
        <w:ind w:left="567" w:hanging="567"/>
        <w:contextualSpacing w:val="0"/>
        <w:jc w:val="both"/>
        <w:rPr>
          <w:rFonts w:ascii="David" w:hAnsi="David" w:cs="David"/>
          <w:sz w:val="24"/>
          <w:szCs w:val="24"/>
          <w:rtl/>
        </w:rPr>
      </w:pPr>
      <w:r>
        <w:rPr>
          <w:rFonts w:ascii="David" w:hAnsi="David" w:cs="David"/>
          <w:sz w:val="24"/>
          <w:szCs w:val="24"/>
          <w:rtl/>
        </w:rPr>
        <w:tab/>
        <w:t xml:space="preserve">בסיכומיה, הוסיפה המתנגדת סעד חלופי "מטעמי זהירות בלבד", לפיו חלקה של בת הזוג בעיזבון – 50% מהעיזבון - יתחלק בין המתנגדת לבין המשיבה 1, בחלקים שווים ביניהן ו/או באופן שייקבע על ידי בית המשפט. </w:t>
      </w:r>
    </w:p>
    <w:p w:rsidR="00A96D0B" w:rsidRDefault="00A96D0B" w:rsidP="005D7C89">
      <w:pPr>
        <w:pStyle w:val="ad"/>
        <w:tabs>
          <w:tab w:val="left" w:pos="567"/>
        </w:tabs>
        <w:spacing w:after="0" w:line="360" w:lineRule="auto"/>
        <w:ind w:left="567" w:hanging="567"/>
        <w:contextualSpacing w:val="0"/>
        <w:jc w:val="both"/>
        <w:rPr>
          <w:rFonts w:ascii="David" w:hAnsi="David" w:cs="David"/>
          <w:sz w:val="24"/>
          <w:szCs w:val="24"/>
        </w:rPr>
      </w:pPr>
    </w:p>
    <w:p w:rsidR="00570148" w:rsidRDefault="00570148" w:rsidP="005D7C89">
      <w:pPr>
        <w:pStyle w:val="ad"/>
        <w:numPr>
          <w:ilvl w:val="0"/>
          <w:numId w:val="1"/>
        </w:numPr>
        <w:tabs>
          <w:tab w:val="left" w:pos="567"/>
        </w:tabs>
        <w:spacing w:after="0" w:line="360" w:lineRule="auto"/>
        <w:ind w:left="567" w:hanging="567"/>
        <w:contextualSpacing w:val="0"/>
        <w:jc w:val="both"/>
        <w:rPr>
          <w:rFonts w:ascii="David" w:hAnsi="David" w:cs="David"/>
          <w:sz w:val="24"/>
          <w:szCs w:val="24"/>
        </w:rPr>
      </w:pPr>
      <w:r>
        <w:rPr>
          <w:rFonts w:ascii="David" w:hAnsi="David" w:cs="David"/>
          <w:sz w:val="24"/>
          <w:szCs w:val="24"/>
          <w:rtl/>
        </w:rPr>
        <w:t xml:space="preserve"> </w:t>
      </w:r>
      <w:r>
        <w:rPr>
          <w:rFonts w:ascii="David" w:hAnsi="David" w:cs="David"/>
          <w:sz w:val="24"/>
          <w:szCs w:val="24"/>
          <w:rtl/>
        </w:rPr>
        <w:tab/>
        <w:t>המתנגדת טוענת, כי הייתה בת זוגו "האמיתית" של המנוח וידועה בציבור שלו ולה מגיעות הזכויות בעיזבון המנוח כבת זוגו מכוח סעיפים 10-11 לחוק הירושה, תשכ"ה-1965 (להלן: "</w:t>
      </w:r>
      <w:r>
        <w:rPr>
          <w:rFonts w:ascii="David" w:hAnsi="David" w:cs="David"/>
          <w:b/>
          <w:bCs/>
          <w:sz w:val="24"/>
          <w:szCs w:val="24"/>
          <w:rtl/>
        </w:rPr>
        <w:t>חוק הירושה</w:t>
      </w:r>
      <w:r>
        <w:rPr>
          <w:rFonts w:ascii="David" w:hAnsi="David" w:cs="David"/>
          <w:sz w:val="24"/>
          <w:szCs w:val="24"/>
          <w:rtl/>
        </w:rPr>
        <w:t xml:space="preserve">"), אף שהיה נשוי באותה עת לאחרת. לשיטתה של המתנגדת, מבחינה מהותית, המנוח לא היה "נשוי לאחרת" מכיוון שנישואיו למשיבה 1 היו נישואים פורמליים "על הנייר" בלבד, בלא שהתקיימו ביניהם יחסים של בני זוג. </w:t>
      </w:r>
    </w:p>
    <w:p w:rsidR="00A96D0B" w:rsidRDefault="00A96D0B" w:rsidP="005D7C89">
      <w:pPr>
        <w:pStyle w:val="ad"/>
        <w:tabs>
          <w:tab w:val="left" w:pos="567"/>
        </w:tabs>
        <w:spacing w:after="0" w:line="360" w:lineRule="auto"/>
        <w:ind w:left="567"/>
        <w:contextualSpacing w:val="0"/>
        <w:jc w:val="both"/>
        <w:rPr>
          <w:rFonts w:ascii="David" w:hAnsi="David" w:cs="David"/>
          <w:sz w:val="24"/>
          <w:szCs w:val="24"/>
        </w:rPr>
      </w:pPr>
    </w:p>
    <w:p w:rsidR="00A96D0B" w:rsidRPr="00A96D0B" w:rsidRDefault="00570148" w:rsidP="005D7C89">
      <w:pPr>
        <w:pStyle w:val="ad"/>
        <w:numPr>
          <w:ilvl w:val="0"/>
          <w:numId w:val="1"/>
        </w:numPr>
        <w:tabs>
          <w:tab w:val="left" w:pos="567"/>
        </w:tabs>
        <w:spacing w:after="0" w:line="360" w:lineRule="auto"/>
        <w:ind w:left="567" w:hanging="567"/>
        <w:contextualSpacing w:val="0"/>
        <w:jc w:val="both"/>
        <w:rPr>
          <w:rFonts w:ascii="David" w:hAnsi="David" w:cs="David"/>
          <w:sz w:val="24"/>
          <w:szCs w:val="24"/>
        </w:rPr>
      </w:pPr>
      <w:r>
        <w:rPr>
          <w:rFonts w:ascii="David" w:hAnsi="David" w:cs="David"/>
          <w:sz w:val="24"/>
          <w:szCs w:val="24"/>
          <w:rtl/>
        </w:rPr>
        <w:t xml:space="preserve"> </w:t>
      </w:r>
      <w:r>
        <w:rPr>
          <w:rFonts w:ascii="David" w:hAnsi="David" w:cs="David"/>
          <w:sz w:val="24"/>
          <w:szCs w:val="24"/>
          <w:rtl/>
        </w:rPr>
        <w:tab/>
        <w:t xml:space="preserve">המתנגדת מתארת, כי הכירה את המנוח בהיותה כבת 28 שנים, עולה חדשה מרוסיה ואם לשני קטינים בגילאי 5 ו- 6 שנים, כאשר החלה לעבוד כ"שרטטת" במשרד בו היה שותף המנוח, שהיה בתחילת דרכו. המנוח היה אז בן 42 שנים, נשוי למשיבה 1 ואב למשיבות 2-4, אשר היו קטינות בנות 5, 10 ו-14 שנים. </w:t>
      </w:r>
    </w:p>
    <w:p w:rsidR="00A96D0B" w:rsidRDefault="00A96D0B" w:rsidP="005D7C89">
      <w:pPr>
        <w:pStyle w:val="ad"/>
        <w:tabs>
          <w:tab w:val="left" w:pos="567"/>
        </w:tabs>
        <w:spacing w:after="0" w:line="360" w:lineRule="auto"/>
        <w:ind w:left="567"/>
        <w:contextualSpacing w:val="0"/>
        <w:jc w:val="both"/>
        <w:rPr>
          <w:rFonts w:ascii="David" w:hAnsi="David" w:cs="David"/>
          <w:sz w:val="24"/>
          <w:szCs w:val="24"/>
        </w:rPr>
      </w:pPr>
    </w:p>
    <w:p w:rsidR="00570148" w:rsidRDefault="00A96D0B" w:rsidP="005D7C89">
      <w:pPr>
        <w:pStyle w:val="ad"/>
        <w:numPr>
          <w:ilvl w:val="0"/>
          <w:numId w:val="1"/>
        </w:numPr>
        <w:tabs>
          <w:tab w:val="left" w:pos="567"/>
        </w:tabs>
        <w:spacing w:after="0" w:line="360" w:lineRule="auto"/>
        <w:ind w:left="567" w:hanging="567"/>
        <w:contextualSpacing w:val="0"/>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570148">
        <w:rPr>
          <w:rFonts w:ascii="David" w:hAnsi="David" w:cs="David"/>
          <w:sz w:val="24"/>
          <w:szCs w:val="24"/>
          <w:rtl/>
        </w:rPr>
        <w:t xml:space="preserve">לטענת המתנגדת, זמן קצר לאחר שהכירה את המנוח, נרקמה בין השניים מערכת יחסים זוגית ואינטימית באופן גלוי ופומבי, שנמשכה עד ליום פטירתו של המנוח, במשך כ-26 שנים. </w:t>
      </w:r>
    </w:p>
    <w:p w:rsidR="00A96D0B" w:rsidRDefault="00A96D0B" w:rsidP="005D7C89">
      <w:pPr>
        <w:pStyle w:val="ad"/>
        <w:tabs>
          <w:tab w:val="left" w:pos="567"/>
        </w:tabs>
        <w:spacing w:after="0" w:line="360" w:lineRule="auto"/>
        <w:ind w:left="567"/>
        <w:contextualSpacing w:val="0"/>
        <w:jc w:val="both"/>
        <w:rPr>
          <w:rFonts w:ascii="David" w:hAnsi="David" w:cs="David"/>
          <w:sz w:val="24"/>
          <w:szCs w:val="24"/>
          <w:rtl/>
        </w:rPr>
      </w:pPr>
    </w:p>
    <w:p w:rsidR="00570148" w:rsidRDefault="00570148" w:rsidP="005D7C89">
      <w:pPr>
        <w:pStyle w:val="ad"/>
        <w:tabs>
          <w:tab w:val="left" w:pos="567"/>
        </w:tabs>
        <w:spacing w:after="0" w:line="360" w:lineRule="auto"/>
        <w:ind w:left="567"/>
        <w:contextualSpacing w:val="0"/>
        <w:jc w:val="both"/>
        <w:rPr>
          <w:rFonts w:ascii="David" w:hAnsi="David" w:cs="David"/>
          <w:sz w:val="24"/>
          <w:szCs w:val="24"/>
        </w:rPr>
      </w:pPr>
      <w:r>
        <w:rPr>
          <w:rFonts w:ascii="David" w:hAnsi="David" w:cs="David"/>
          <w:sz w:val="24"/>
          <w:szCs w:val="24"/>
          <w:rtl/>
        </w:rPr>
        <w:t>לטענתה, המנוח והיא נהגו כבני זוג לכל דבר ועניין, כאשר מתחילת יחסיהם הזוגיים (בשנת 1992), המנוח נהג להתגורר בביתה מחצית מהשבוע ובחלק מהזמן, בעי</w:t>
      </w:r>
      <w:r w:rsidR="00447236">
        <w:rPr>
          <w:rFonts w:ascii="David" w:hAnsi="David" w:cs="David"/>
          <w:sz w:val="24"/>
          <w:szCs w:val="24"/>
          <w:rtl/>
        </w:rPr>
        <w:t>קר בסופי השבוע, שהה בביתו שב</w:t>
      </w:r>
      <w:r w:rsidR="00447236">
        <w:rPr>
          <w:rFonts w:ascii="David" w:hAnsi="David" w:cs="David" w:hint="cs"/>
          <w:sz w:val="24"/>
          <w:szCs w:val="24"/>
          <w:rtl/>
        </w:rPr>
        <w:t>-מ'</w:t>
      </w:r>
      <w:r>
        <w:rPr>
          <w:rFonts w:ascii="David" w:hAnsi="David" w:cs="David"/>
          <w:sz w:val="24"/>
          <w:szCs w:val="24"/>
          <w:rtl/>
        </w:rPr>
        <w:t xml:space="preserve">; כי רצו להביא ילדים משותפים והמתנגדת אף הרתה מהמנוח, אך ההיריון לא צלח; כי המנוח מימן את מגורי המבקשת זמן קצר לאחר היכרותם וסייע לה ברכישת דירות המגורים ובמעברי דירה, ואף העביר לה במתנה שתי דירות במדינת פלורידה שבארצות הברית. </w:t>
      </w:r>
    </w:p>
    <w:p w:rsidR="00570148" w:rsidRDefault="00570148" w:rsidP="005D7C89">
      <w:pPr>
        <w:pStyle w:val="ad"/>
        <w:tabs>
          <w:tab w:val="left" w:pos="567"/>
        </w:tabs>
        <w:spacing w:after="0" w:line="360" w:lineRule="auto"/>
        <w:ind w:left="567"/>
        <w:contextualSpacing w:val="0"/>
        <w:jc w:val="both"/>
        <w:rPr>
          <w:rFonts w:ascii="David" w:hAnsi="David" w:cs="David"/>
          <w:sz w:val="24"/>
          <w:szCs w:val="24"/>
          <w:rtl/>
        </w:rPr>
      </w:pPr>
      <w:r>
        <w:rPr>
          <w:rFonts w:ascii="David" w:hAnsi="David" w:cs="David"/>
          <w:sz w:val="24"/>
          <w:szCs w:val="24"/>
          <w:rtl/>
        </w:rPr>
        <w:t xml:space="preserve">כן נטען, כי המנוח שימש כאב לילדיה ובתוך כך, אירגן, מימן וניהל את ברית המילה של בנה (שנערכה עת היה כבן 6) ונכדה ושימש להם כסנדק, נטל חלק מרכזי כאבי החתן / הכלה בחתונות ילדיה ומימן את לימודיהם האקדמאיים של ילדיה. </w:t>
      </w:r>
    </w:p>
    <w:p w:rsidR="00A96D0B" w:rsidRDefault="00A96D0B" w:rsidP="005D7C89">
      <w:pPr>
        <w:pStyle w:val="ad"/>
        <w:tabs>
          <w:tab w:val="left" w:pos="567"/>
        </w:tabs>
        <w:spacing w:after="0" w:line="360" w:lineRule="auto"/>
        <w:ind w:left="567"/>
        <w:contextualSpacing w:val="0"/>
        <w:jc w:val="both"/>
        <w:rPr>
          <w:rFonts w:ascii="David" w:hAnsi="David" w:cs="David"/>
          <w:sz w:val="24"/>
          <w:szCs w:val="24"/>
          <w:rtl/>
        </w:rPr>
      </w:pPr>
    </w:p>
    <w:p w:rsidR="00570148" w:rsidRDefault="00570148" w:rsidP="005D7C89">
      <w:pPr>
        <w:pStyle w:val="ad"/>
        <w:tabs>
          <w:tab w:val="left" w:pos="567"/>
        </w:tabs>
        <w:spacing w:after="0" w:line="360" w:lineRule="auto"/>
        <w:ind w:left="567"/>
        <w:contextualSpacing w:val="0"/>
        <w:jc w:val="both"/>
        <w:rPr>
          <w:rFonts w:ascii="David" w:hAnsi="David" w:cs="David"/>
          <w:sz w:val="24"/>
          <w:szCs w:val="24"/>
          <w:rtl/>
        </w:rPr>
      </w:pPr>
      <w:r>
        <w:rPr>
          <w:rFonts w:ascii="David" w:hAnsi="David" w:cs="David"/>
          <w:sz w:val="24"/>
          <w:szCs w:val="24"/>
          <w:rtl/>
        </w:rPr>
        <w:t>המתנגדת הוסיפה וטענה, כי עבדה לצידו של המנוח וה</w:t>
      </w:r>
      <w:r w:rsidR="00A64892">
        <w:rPr>
          <w:rFonts w:ascii="David" w:hAnsi="David" w:cs="David" w:hint="cs"/>
          <w:sz w:val="24"/>
          <w:szCs w:val="24"/>
          <w:rtl/>
        </w:rPr>
        <w:t>י</w:t>
      </w:r>
      <w:r>
        <w:rPr>
          <w:rFonts w:ascii="David" w:hAnsi="David" w:cs="David"/>
          <w:sz w:val="24"/>
          <w:szCs w:val="24"/>
          <w:rtl/>
        </w:rPr>
        <w:t>יתה מעורבות בעסקיו, וכן כי השניים יצאו לטיולים משותפים בארץ ובחו"ל במימונו של המנוח.</w:t>
      </w:r>
    </w:p>
    <w:p w:rsidR="00A96D0B" w:rsidRDefault="00A96D0B" w:rsidP="005D7C89">
      <w:pPr>
        <w:pStyle w:val="ad"/>
        <w:tabs>
          <w:tab w:val="left" w:pos="567"/>
        </w:tabs>
        <w:spacing w:after="0" w:line="360" w:lineRule="auto"/>
        <w:ind w:left="567"/>
        <w:contextualSpacing w:val="0"/>
        <w:jc w:val="both"/>
        <w:rPr>
          <w:rFonts w:ascii="David" w:hAnsi="David" w:cs="David"/>
          <w:sz w:val="24"/>
          <w:szCs w:val="24"/>
          <w:rtl/>
        </w:rPr>
      </w:pPr>
    </w:p>
    <w:p w:rsidR="00570148" w:rsidRDefault="00570148" w:rsidP="005D7C89">
      <w:pPr>
        <w:pStyle w:val="ad"/>
        <w:tabs>
          <w:tab w:val="left" w:pos="567"/>
        </w:tabs>
        <w:spacing w:after="0" w:line="360" w:lineRule="auto"/>
        <w:ind w:left="567"/>
        <w:contextualSpacing w:val="0"/>
        <w:jc w:val="both"/>
        <w:rPr>
          <w:rFonts w:ascii="David" w:hAnsi="David" w:cs="David"/>
          <w:sz w:val="24"/>
          <w:szCs w:val="24"/>
        </w:rPr>
      </w:pPr>
      <w:r>
        <w:rPr>
          <w:rFonts w:ascii="David" w:hAnsi="David" w:cs="David"/>
          <w:sz w:val="24"/>
          <w:szCs w:val="24"/>
          <w:rtl/>
        </w:rPr>
        <w:t>עוד נטען, כי המתנגדת תמכה במנוח במאבקו במחלת הסרטן, כאשר משפחתו לא רצתה לטפל בו, ליוותה אותו לבדיקות, לניתוחים ולטיפולים השונים, ושהתה לצדו במוסד הסיעודי כבת זוגו, עד יומו האחרון.</w:t>
      </w:r>
    </w:p>
    <w:p w:rsidR="00A96D0B" w:rsidRDefault="00A96D0B" w:rsidP="005D7C89">
      <w:pPr>
        <w:pStyle w:val="ad"/>
        <w:tabs>
          <w:tab w:val="left" w:pos="567"/>
        </w:tabs>
        <w:spacing w:after="0" w:line="360" w:lineRule="auto"/>
        <w:ind w:left="567"/>
        <w:contextualSpacing w:val="0"/>
        <w:jc w:val="both"/>
        <w:rPr>
          <w:rFonts w:ascii="David" w:hAnsi="David" w:cs="David"/>
          <w:sz w:val="24"/>
          <w:szCs w:val="24"/>
        </w:rPr>
      </w:pPr>
    </w:p>
    <w:p w:rsidR="00570148" w:rsidRDefault="00A96D0B" w:rsidP="005D7C89">
      <w:pPr>
        <w:pStyle w:val="ad"/>
        <w:numPr>
          <w:ilvl w:val="0"/>
          <w:numId w:val="1"/>
        </w:numPr>
        <w:tabs>
          <w:tab w:val="left" w:pos="567"/>
        </w:tabs>
        <w:spacing w:after="0" w:line="360" w:lineRule="auto"/>
        <w:ind w:left="567" w:hanging="567"/>
        <w:contextualSpacing w:val="0"/>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570148">
        <w:rPr>
          <w:rFonts w:ascii="David" w:hAnsi="David" w:cs="David"/>
          <w:sz w:val="24"/>
          <w:szCs w:val="24"/>
          <w:rtl/>
        </w:rPr>
        <w:t>המתנגדת והמנוח צמחו והתפתחו יחדיו במהלך תקופת הקשר ביניהם – המנוח הרחיב את עסקיו לכדי פעילות עסקית ענפה ורווחית, והמתנגדת, רכשה השכלה של שלושה תארים והתקדמה להיות מהנדסת ומנהלת פרויקטים, לרבות בחברות בבעלות המנוח.</w:t>
      </w:r>
    </w:p>
    <w:p w:rsidR="00A96D0B" w:rsidRDefault="00A96D0B" w:rsidP="005D7C89">
      <w:pPr>
        <w:pStyle w:val="ad"/>
        <w:tabs>
          <w:tab w:val="left" w:pos="567"/>
        </w:tabs>
        <w:spacing w:after="0" w:line="360" w:lineRule="auto"/>
        <w:ind w:left="567"/>
        <w:contextualSpacing w:val="0"/>
        <w:jc w:val="both"/>
        <w:rPr>
          <w:rFonts w:ascii="David" w:hAnsi="David" w:cs="David"/>
          <w:sz w:val="24"/>
          <w:szCs w:val="24"/>
          <w:rtl/>
        </w:rPr>
      </w:pPr>
    </w:p>
    <w:p w:rsidR="00A96D0B" w:rsidRPr="00A96D0B" w:rsidRDefault="00570148" w:rsidP="005D7C89">
      <w:pPr>
        <w:pStyle w:val="ad"/>
        <w:numPr>
          <w:ilvl w:val="0"/>
          <w:numId w:val="1"/>
        </w:numPr>
        <w:tabs>
          <w:tab w:val="left" w:pos="567"/>
        </w:tabs>
        <w:spacing w:after="0" w:line="360" w:lineRule="auto"/>
        <w:ind w:left="567" w:hanging="567"/>
        <w:contextualSpacing w:val="0"/>
        <w:jc w:val="both"/>
        <w:rPr>
          <w:rFonts w:ascii="David" w:hAnsi="David" w:cs="David"/>
          <w:sz w:val="24"/>
          <w:szCs w:val="24"/>
        </w:rPr>
      </w:pPr>
      <w:r>
        <w:rPr>
          <w:rFonts w:ascii="David" w:hAnsi="David" w:cs="David"/>
          <w:sz w:val="24"/>
          <w:szCs w:val="24"/>
          <w:rtl/>
        </w:rPr>
        <w:tab/>
        <w:t xml:space="preserve">לטענת המתנגדת, מתוך ההליכים המשפטיים השונים ניתן ללמוד על היותה ידועתו בציבור של המנוח, או למצער למצוא בהם משום תמיכה וחיזוק לאמור; החל מהליך האפוטרופסות שנוהל בעניינו של המנוח בגדרו נמסרו הצהרות המנוח בזמן אמת; עובר לפסק דינו של כב' השופט בן שלו בע"ר 20850-12-18 אשר לטענתה הכיר למעשה במעמדה כבת זוגו הזכאית להגיש התנגדות לבקשה לקיום צוואתו של המנוח, וכלה בקביעת בית הדין לעבודה (בסע"ש 21605-12-15) כי היא והמנוח היו בני זוג ידועים בציבור. </w:t>
      </w:r>
    </w:p>
    <w:p w:rsidR="00A96D0B" w:rsidRDefault="00A96D0B" w:rsidP="005D7C89">
      <w:pPr>
        <w:pStyle w:val="ad"/>
        <w:tabs>
          <w:tab w:val="left" w:pos="567"/>
        </w:tabs>
        <w:spacing w:after="0" w:line="360" w:lineRule="auto"/>
        <w:ind w:left="567"/>
        <w:contextualSpacing w:val="0"/>
        <w:jc w:val="both"/>
        <w:rPr>
          <w:rFonts w:ascii="David" w:hAnsi="David" w:cs="David"/>
          <w:sz w:val="24"/>
          <w:szCs w:val="24"/>
        </w:rPr>
      </w:pPr>
    </w:p>
    <w:p w:rsidR="00570148" w:rsidRDefault="00A96D0B" w:rsidP="008F52E6">
      <w:pPr>
        <w:pStyle w:val="ad"/>
        <w:numPr>
          <w:ilvl w:val="0"/>
          <w:numId w:val="1"/>
        </w:numPr>
        <w:tabs>
          <w:tab w:val="left" w:pos="567"/>
        </w:tabs>
        <w:spacing w:after="0" w:line="360" w:lineRule="auto"/>
        <w:ind w:left="567" w:hanging="567"/>
        <w:contextualSpacing w:val="0"/>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570148">
        <w:rPr>
          <w:rFonts w:ascii="David" w:hAnsi="David" w:cs="David"/>
          <w:sz w:val="24"/>
          <w:szCs w:val="24"/>
          <w:rtl/>
        </w:rPr>
        <w:t>כן טענה המתנגדת</w:t>
      </w:r>
      <w:r w:rsidR="008F52E6">
        <w:rPr>
          <w:rFonts w:ascii="David" w:hAnsi="David" w:cs="David" w:hint="cs"/>
          <w:sz w:val="24"/>
          <w:szCs w:val="24"/>
          <w:rtl/>
        </w:rPr>
        <w:t>,</w:t>
      </w:r>
      <w:r w:rsidR="00570148">
        <w:rPr>
          <w:rFonts w:ascii="David" w:hAnsi="David" w:cs="David"/>
          <w:sz w:val="24"/>
          <w:szCs w:val="24"/>
          <w:rtl/>
        </w:rPr>
        <w:t xml:space="preserve"> </w:t>
      </w:r>
      <w:r w:rsidR="008F52E6">
        <w:rPr>
          <w:rFonts w:ascii="David" w:hAnsi="David" w:cs="David" w:hint="cs"/>
          <w:sz w:val="24"/>
          <w:szCs w:val="24"/>
          <w:rtl/>
        </w:rPr>
        <w:t>כי</w:t>
      </w:r>
      <w:r w:rsidR="00570148">
        <w:rPr>
          <w:rFonts w:ascii="David" w:hAnsi="David" w:cs="David"/>
          <w:sz w:val="24"/>
          <w:szCs w:val="24"/>
          <w:rtl/>
        </w:rPr>
        <w:t xml:space="preserve"> מול הראיות המוצקות שהובאו מטעמה, לא עלה בידי המשיבות להוכיח אף לא את המינימום הנדרש בדבר מערכת יחסים תקינה וטובה בין המנוח למשיבה 1, כנטען על ידן.</w:t>
      </w:r>
    </w:p>
    <w:p w:rsidR="00A96D0B" w:rsidRDefault="00A96D0B" w:rsidP="005D7C89">
      <w:pPr>
        <w:pStyle w:val="ad"/>
        <w:tabs>
          <w:tab w:val="left" w:pos="567"/>
        </w:tabs>
        <w:spacing w:after="0" w:line="360" w:lineRule="auto"/>
        <w:ind w:left="567"/>
        <w:contextualSpacing w:val="0"/>
        <w:jc w:val="both"/>
        <w:rPr>
          <w:rFonts w:ascii="David" w:hAnsi="David" w:cs="David"/>
          <w:sz w:val="24"/>
          <w:szCs w:val="24"/>
        </w:rPr>
      </w:pPr>
    </w:p>
    <w:p w:rsidR="00570148" w:rsidRDefault="00A96D0B" w:rsidP="005D7C89">
      <w:pPr>
        <w:pStyle w:val="ad"/>
        <w:numPr>
          <w:ilvl w:val="0"/>
          <w:numId w:val="1"/>
        </w:numPr>
        <w:tabs>
          <w:tab w:val="left" w:pos="567"/>
        </w:tabs>
        <w:spacing w:after="0" w:line="360" w:lineRule="auto"/>
        <w:ind w:left="567" w:hanging="567"/>
        <w:contextualSpacing w:val="0"/>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570148">
        <w:rPr>
          <w:rFonts w:ascii="David" w:hAnsi="David" w:cs="David"/>
          <w:sz w:val="24"/>
          <w:szCs w:val="24"/>
          <w:rtl/>
        </w:rPr>
        <w:t>בנסיבות המיוחדות של העניין, יש לאמץ לדידה של המתנגדת את הגישה המהותית, במובחן מבדיקה פורמלית, בבחינת זהותה של בת זוגו האמיתית של המנוח בעת פטירתו, כך שהיא זו אשר תהא זכאית לרשת מחצית מעיזבונו, על פי דין, תחת אלמנתו – המשיבה 1.</w:t>
      </w:r>
    </w:p>
    <w:p w:rsidR="00A96D0B" w:rsidRDefault="00A96D0B" w:rsidP="005D7C89">
      <w:pPr>
        <w:tabs>
          <w:tab w:val="left" w:pos="567"/>
        </w:tabs>
        <w:spacing w:line="360" w:lineRule="auto"/>
        <w:ind w:left="567" w:hanging="567"/>
        <w:jc w:val="both"/>
        <w:rPr>
          <w:rFonts w:ascii="David" w:hAnsi="David"/>
          <w:b/>
          <w:bCs/>
          <w:u w:val="single"/>
          <w:rtl/>
        </w:rPr>
      </w:pPr>
    </w:p>
    <w:p w:rsidR="00985BC6" w:rsidRDefault="00570148" w:rsidP="00985BC6">
      <w:pPr>
        <w:tabs>
          <w:tab w:val="left" w:pos="567"/>
        </w:tabs>
        <w:spacing w:line="360" w:lineRule="auto"/>
        <w:ind w:left="567" w:hanging="567"/>
        <w:jc w:val="both"/>
        <w:rPr>
          <w:rFonts w:ascii="David" w:hAnsi="David"/>
          <w:b/>
          <w:bCs/>
          <w:u w:val="single"/>
          <w:rtl/>
        </w:rPr>
      </w:pPr>
      <w:r>
        <w:rPr>
          <w:rFonts w:ascii="David" w:hAnsi="David"/>
          <w:b/>
          <w:bCs/>
          <w:u w:val="single"/>
          <w:rtl/>
        </w:rPr>
        <w:t>טענות המשיבות</w:t>
      </w:r>
    </w:p>
    <w:p w:rsidR="00985BC6" w:rsidRDefault="00985BC6" w:rsidP="00985BC6">
      <w:pPr>
        <w:tabs>
          <w:tab w:val="left" w:pos="567"/>
        </w:tabs>
        <w:spacing w:line="360" w:lineRule="auto"/>
        <w:ind w:left="567" w:hanging="567"/>
        <w:jc w:val="both"/>
        <w:rPr>
          <w:rFonts w:ascii="David" w:hAnsi="David"/>
          <w:b/>
          <w:bCs/>
          <w:u w:val="single"/>
        </w:rPr>
      </w:pPr>
    </w:p>
    <w:p w:rsidR="00570148" w:rsidRDefault="00570148" w:rsidP="005D7C89">
      <w:pPr>
        <w:pStyle w:val="ad"/>
        <w:numPr>
          <w:ilvl w:val="0"/>
          <w:numId w:val="1"/>
        </w:numPr>
        <w:tabs>
          <w:tab w:val="left" w:pos="567"/>
        </w:tabs>
        <w:spacing w:after="0" w:line="360" w:lineRule="auto"/>
        <w:ind w:left="567" w:hanging="567"/>
        <w:contextualSpacing w:val="0"/>
        <w:jc w:val="both"/>
        <w:rPr>
          <w:rFonts w:ascii="David" w:hAnsi="David" w:cs="David"/>
          <w:sz w:val="24"/>
          <w:szCs w:val="24"/>
        </w:rPr>
      </w:pPr>
      <w:r>
        <w:rPr>
          <w:rFonts w:ascii="David" w:hAnsi="David" w:cs="David"/>
          <w:sz w:val="24"/>
          <w:szCs w:val="24"/>
          <w:rtl/>
        </w:rPr>
        <w:t xml:space="preserve"> </w:t>
      </w:r>
      <w:r>
        <w:rPr>
          <w:rFonts w:ascii="David" w:hAnsi="David" w:cs="David"/>
          <w:sz w:val="24"/>
          <w:szCs w:val="24"/>
          <w:rtl/>
        </w:rPr>
        <w:tab/>
        <w:t>המשיבות טוענות, כי נימוקי ההתנגדות מנוגדים הן להוראות חוק הירושה והן להלכה הפסוקה שיצאה תחת ידי בית המשפט העליון, לפיהן שעה שהמנוח היה נשוי למשיבה 1 בעת פטירתו, אזי המשיבה 1 היא היורשת על פי דין של מחצית עזבונו, ואין לייחס משמעות לטיב היחסים ביניהם. דהיינו: היורשת על פי דין אשר זכאית למחצית עזבון המנוח כבת זוגו, היא המשיבה 1, אלמנתו, ולא המתנגדת.</w:t>
      </w:r>
    </w:p>
    <w:p w:rsidR="00A96D0B" w:rsidRDefault="00A96D0B" w:rsidP="005D7C89">
      <w:pPr>
        <w:pStyle w:val="ad"/>
        <w:tabs>
          <w:tab w:val="left" w:pos="567"/>
        </w:tabs>
        <w:spacing w:after="0" w:line="360" w:lineRule="auto"/>
        <w:ind w:left="567"/>
        <w:contextualSpacing w:val="0"/>
        <w:jc w:val="both"/>
        <w:rPr>
          <w:rFonts w:ascii="David" w:hAnsi="David" w:cs="David"/>
          <w:sz w:val="24"/>
          <w:szCs w:val="24"/>
        </w:rPr>
      </w:pPr>
    </w:p>
    <w:p w:rsidR="00570148" w:rsidRDefault="00570148" w:rsidP="005D7C89">
      <w:pPr>
        <w:pStyle w:val="ad"/>
        <w:numPr>
          <w:ilvl w:val="0"/>
          <w:numId w:val="1"/>
        </w:numPr>
        <w:tabs>
          <w:tab w:val="left" w:pos="567"/>
        </w:tabs>
        <w:spacing w:after="0" w:line="360" w:lineRule="auto"/>
        <w:ind w:left="567" w:hanging="567"/>
        <w:contextualSpacing w:val="0"/>
        <w:jc w:val="both"/>
        <w:rPr>
          <w:rFonts w:ascii="David" w:hAnsi="David" w:cs="David"/>
          <w:sz w:val="24"/>
          <w:szCs w:val="24"/>
        </w:rPr>
      </w:pPr>
      <w:r>
        <w:rPr>
          <w:rFonts w:ascii="David" w:hAnsi="David" w:cs="David"/>
          <w:sz w:val="24"/>
          <w:szCs w:val="24"/>
          <w:rtl/>
        </w:rPr>
        <w:t xml:space="preserve"> </w:t>
      </w:r>
      <w:r>
        <w:rPr>
          <w:rFonts w:ascii="David" w:hAnsi="David" w:cs="David"/>
          <w:sz w:val="24"/>
          <w:szCs w:val="24"/>
          <w:rtl/>
        </w:rPr>
        <w:tab/>
        <w:t xml:space="preserve">לשיטת המשיבות, לא מתקיימות בענייננו נסיבות מיוחדות שהוכרו בפסיקה, המצדיקות קביעת זהות בת זוגו של מנוח על פי מבחנים מהותיים (במובחן מבדיקה פורמלית), כאשר המתנגדת לא טענה, ואף לא הוכיחה, כי הנישואין בין המנוח למשיבה 1 היו ריקים מתוכן ו/או על פירוד ו/או כוונה/ רצון לסיים את קשר הנישואין ביניהם. המשיבות מדגישות, כי הנטל להוכחת טענות לגבי טיב הנישואין שבין המנוח למשיבה 1 מוטל על הטוענת לכך, קרי על המתנגדת. </w:t>
      </w:r>
    </w:p>
    <w:p w:rsidR="00A96D0B" w:rsidRDefault="00A96D0B" w:rsidP="005D7C89">
      <w:pPr>
        <w:pStyle w:val="ad"/>
        <w:tabs>
          <w:tab w:val="left" w:pos="567"/>
        </w:tabs>
        <w:spacing w:after="0" w:line="360" w:lineRule="auto"/>
        <w:ind w:left="567"/>
        <w:contextualSpacing w:val="0"/>
        <w:jc w:val="both"/>
        <w:rPr>
          <w:rFonts w:ascii="David" w:hAnsi="David" w:cs="David"/>
          <w:sz w:val="24"/>
          <w:szCs w:val="24"/>
        </w:rPr>
      </w:pPr>
    </w:p>
    <w:p w:rsidR="00570148" w:rsidRDefault="00A96D0B" w:rsidP="005D7C89">
      <w:pPr>
        <w:pStyle w:val="ad"/>
        <w:numPr>
          <w:ilvl w:val="0"/>
          <w:numId w:val="1"/>
        </w:numPr>
        <w:tabs>
          <w:tab w:val="left" w:pos="567"/>
        </w:tabs>
        <w:spacing w:after="0" w:line="360" w:lineRule="auto"/>
        <w:ind w:left="567" w:hanging="567"/>
        <w:contextualSpacing w:val="0"/>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570148">
        <w:rPr>
          <w:rFonts w:ascii="David" w:hAnsi="David" w:cs="David"/>
          <w:sz w:val="24"/>
          <w:szCs w:val="24"/>
          <w:rtl/>
        </w:rPr>
        <w:t>המשיבות מוסיפות, כי גם אם ייקבע שהמתנגדת הייתה ידועה בציבור של המנוח, ממילא לא תהייה לכך כל השלכה מעשית על זכויותיה בעיזבון המנוח, משני טעמים – הראשון, כי לא התבקש סעד הצהרתי הקובע שהיה שיתוף רכושי ו/או כי חלה חזקת שיתוף בנכסים של המתנגדת והמנוח, כך שאף אם הייתה ידועה בציבור של המנוח, לא היו לה זכויות ברכושו; הטעם השני, נעוץ בכך שהמנוח היה נשוי במועד פטירתו למשיבה 1 ומכאן, שגם לו המתנגדת הייתה ידועה בציבור של המנוח, היא לא יכולה להיות יורשת על פי דין, נוכח הוראות סעיף 55 לחוק הירושה.</w:t>
      </w:r>
    </w:p>
    <w:p w:rsidR="00A96D0B" w:rsidRDefault="00570148" w:rsidP="005D7C89">
      <w:pPr>
        <w:pStyle w:val="ad"/>
        <w:tabs>
          <w:tab w:val="left" w:pos="567"/>
        </w:tabs>
        <w:spacing w:after="0" w:line="360" w:lineRule="auto"/>
        <w:ind w:left="567"/>
        <w:contextualSpacing w:val="0"/>
        <w:jc w:val="both"/>
        <w:rPr>
          <w:rFonts w:ascii="David" w:hAnsi="David" w:cs="David"/>
          <w:sz w:val="24"/>
          <w:szCs w:val="24"/>
        </w:rPr>
      </w:pPr>
      <w:r>
        <w:rPr>
          <w:rFonts w:ascii="David" w:hAnsi="David" w:cs="David"/>
          <w:sz w:val="24"/>
          <w:szCs w:val="24"/>
          <w:rtl/>
        </w:rPr>
        <w:t xml:space="preserve"> </w:t>
      </w:r>
      <w:r>
        <w:rPr>
          <w:rFonts w:ascii="David" w:hAnsi="David" w:cs="David"/>
          <w:sz w:val="24"/>
          <w:szCs w:val="24"/>
          <w:rtl/>
        </w:rPr>
        <w:tab/>
      </w:r>
    </w:p>
    <w:p w:rsidR="00570148" w:rsidRDefault="00A96D0B" w:rsidP="005D7C89">
      <w:pPr>
        <w:pStyle w:val="ad"/>
        <w:numPr>
          <w:ilvl w:val="0"/>
          <w:numId w:val="1"/>
        </w:numPr>
        <w:tabs>
          <w:tab w:val="left" w:pos="567"/>
        </w:tabs>
        <w:spacing w:after="0" w:line="360" w:lineRule="auto"/>
        <w:ind w:left="567" w:hanging="567"/>
        <w:contextualSpacing w:val="0"/>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570148">
        <w:rPr>
          <w:rFonts w:ascii="David" w:hAnsi="David" w:cs="David"/>
          <w:sz w:val="24"/>
          <w:szCs w:val="24"/>
          <w:rtl/>
        </w:rPr>
        <w:t xml:space="preserve">לצד האמור, מוסיפות המשיבות וטוענות, כי המתנגדת לא הייתה ידועה בציבור של המנוח, אלא מאהבת שלו. לשיטתן, הקשר שנוצר בין המנוח והמתנגדת, גם אם נפרס על פני תקופה ארוכה, לא הפך את המתנגדת לידועה בציבור של המנוח, אלא מדובר בקשר לצרכים אישיים ומיניים גרידא, מתוך נוחות של המנוח והמתנגדת. </w:t>
      </w:r>
    </w:p>
    <w:p w:rsidR="00A96D0B" w:rsidRDefault="00A96D0B" w:rsidP="005D7C89">
      <w:pPr>
        <w:pStyle w:val="ad"/>
        <w:tabs>
          <w:tab w:val="left" w:pos="567"/>
        </w:tabs>
        <w:spacing w:after="0" w:line="360" w:lineRule="auto"/>
        <w:ind w:left="567"/>
        <w:contextualSpacing w:val="0"/>
        <w:jc w:val="both"/>
        <w:rPr>
          <w:rFonts w:ascii="David" w:hAnsi="David" w:cs="David"/>
          <w:sz w:val="24"/>
          <w:szCs w:val="24"/>
          <w:rtl/>
        </w:rPr>
      </w:pPr>
    </w:p>
    <w:p w:rsidR="00570148" w:rsidRDefault="00570148" w:rsidP="00F962E3">
      <w:pPr>
        <w:pStyle w:val="ad"/>
        <w:tabs>
          <w:tab w:val="left" w:pos="567"/>
        </w:tabs>
        <w:spacing w:after="0" w:line="360" w:lineRule="auto"/>
        <w:ind w:left="567"/>
        <w:contextualSpacing w:val="0"/>
        <w:jc w:val="both"/>
        <w:rPr>
          <w:rFonts w:ascii="David" w:hAnsi="David" w:cs="David"/>
          <w:sz w:val="24"/>
          <w:szCs w:val="24"/>
        </w:rPr>
      </w:pPr>
      <w:r>
        <w:rPr>
          <w:rFonts w:ascii="David" w:hAnsi="David" w:cs="David"/>
          <w:sz w:val="24"/>
          <w:szCs w:val="24"/>
          <w:rtl/>
        </w:rPr>
        <w:t>לטענתן, כלל הראיות מלמדות כי יחסיהם של המנוח והתנגדת לא התגבשו לכדי מערכת יחסים של בני זוג ידועים בציבור:  המתנגדת והמנוח לא התגוררו תחת אותה קורת גג באופן רצוף ו</w:t>
      </w:r>
      <w:r w:rsidR="00447236">
        <w:rPr>
          <w:rFonts w:ascii="David" w:hAnsi="David" w:cs="David"/>
          <w:sz w:val="24"/>
          <w:szCs w:val="24"/>
          <w:rtl/>
        </w:rPr>
        <w:t>המנוח הוסיף להתגורר בביתו שב</w:t>
      </w:r>
      <w:r w:rsidR="00447236">
        <w:rPr>
          <w:rFonts w:ascii="David" w:hAnsi="David" w:cs="David" w:hint="cs"/>
          <w:sz w:val="24"/>
          <w:szCs w:val="24"/>
          <w:rtl/>
        </w:rPr>
        <w:t>-מ'</w:t>
      </w:r>
      <w:r>
        <w:rPr>
          <w:rFonts w:ascii="David" w:hAnsi="David" w:cs="David"/>
          <w:sz w:val="24"/>
          <w:szCs w:val="24"/>
          <w:rtl/>
        </w:rPr>
        <w:t xml:space="preserve"> יחד עם אשתו, המשיבה 1; המתנגדת והמנוח לא ניהלו משק בית משותף ולא קיימו שיתוף כלכלי ורכושי, אלא נהגו דווקא בהפרדה רכושית, ובתוך כך ניהלו חשבונות בנק נפרדים, המתנגדת לא הייתה רשומה כשותפה בנכסי המנוח, המתנגדת לא הציגה השקעות/ חסכונות/ התחייבויות משותפות; המתנגדת והמנוח לא עיגנו את יחסיהם באקט פורמלי ובתוך כך, רישום חייהם המשותפים בגופים ממסדיים, הבאת ילדים משותפים, רכישת נכס משותף; לא נחתם הסכם ממון ו/או הסדר כלשהו בין המתנגדת למנוח ולא הוכח שהמתנגדת עשתה דבר כדי לעגן את יחסיה עם המנוח בהסכם כלשהו; המנוח לא ערך צוואה במסגרתה הוריש מעיזבונו למתנגדת; המתנגדת והמנוח לא קיימו חיי משפחה תקינים, וכל טענות המתנגדת מתמצות בעזרה וסיוע מצד המנוח למתנגדת ולילדיה – מאפיין מובהק של התנהלות מול מאהבת; המנוח הגדיר את המתנגדת כמאהבת שלו בפני מספר גורמים, לרבות עו"ד מלכיאלי שייצג אותו בהליך האפוטרופסות, בפני עו"ד נוספת שטיפלה בענייניו (עוה"ד </w:t>
      </w:r>
      <w:r w:rsidR="00F962E3">
        <w:rPr>
          <w:rFonts w:ascii="David" w:hAnsi="David" w:cs="David" w:hint="cs"/>
          <w:sz w:val="24"/>
          <w:szCs w:val="24"/>
          <w:rtl/>
        </w:rPr>
        <w:t>ג'</w:t>
      </w:r>
      <w:r>
        <w:rPr>
          <w:rFonts w:ascii="David" w:hAnsi="David" w:cs="David"/>
          <w:sz w:val="24"/>
          <w:szCs w:val="24"/>
          <w:rtl/>
        </w:rPr>
        <w:t xml:space="preserve">) ובפני העו"ס לסדרי דין שהגישה תסקיר בהליך האפוטרופסות שהתנהל בעניינו; אנשים משמעותיים בחייו של המנוח לא ידעו על מערכת היחסים בינו לבין המתנגדת ובתוך כך, אשתו ובנותיו, מנהל משכ"ל מר </w:t>
      </w:r>
      <w:r w:rsidR="00A64892">
        <w:rPr>
          <w:rFonts w:ascii="David" w:hAnsi="David" w:cs="David" w:hint="cs"/>
          <w:sz w:val="24"/>
          <w:szCs w:val="24"/>
          <w:rtl/>
        </w:rPr>
        <w:t>י'.ב</w:t>
      </w:r>
      <w:r>
        <w:rPr>
          <w:rFonts w:ascii="David" w:hAnsi="David" w:cs="David"/>
          <w:sz w:val="24"/>
          <w:szCs w:val="24"/>
          <w:rtl/>
        </w:rPr>
        <w:t>, אשר היה הלקוח העיקרי של חברת הניהול של המנוח, שהמתנגדת ניהלה מולו את כל הפרויקטים וכן, הנהג הצמוד של המנוח בין השנים 2014-2015, מר י</w:t>
      </w:r>
      <w:r w:rsidR="00A64892">
        <w:rPr>
          <w:rFonts w:ascii="David" w:hAnsi="David" w:cs="David" w:hint="cs"/>
          <w:sz w:val="24"/>
          <w:szCs w:val="24"/>
          <w:rtl/>
        </w:rPr>
        <w:t xml:space="preserve">'.ל </w:t>
      </w:r>
      <w:r>
        <w:rPr>
          <w:rFonts w:ascii="David" w:hAnsi="David" w:cs="David"/>
          <w:sz w:val="24"/>
          <w:szCs w:val="24"/>
          <w:rtl/>
        </w:rPr>
        <w:t>; המתנגדת לא פעלה כדי לממש זכויות "נטענות" של ידועה בציבור ובתוך כך, לא פנתה למוסד לביטוח לאומי לקבלת פנסיית שאירים כידועה בציבור, לא ביקשה מזונות מהעיזבון, לא פנתה לחברות הביטוח השונות, לא פעלה כדי לממש זכויות של ידועה בציבור לצורך קבלת נקודות זיכוי במס הכנסה וכיוצ"ב.</w:t>
      </w:r>
    </w:p>
    <w:p w:rsidR="006A03CB" w:rsidRDefault="006A03CB" w:rsidP="005D7C89">
      <w:pPr>
        <w:pStyle w:val="ad"/>
        <w:tabs>
          <w:tab w:val="left" w:pos="567"/>
        </w:tabs>
        <w:spacing w:after="0" w:line="360" w:lineRule="auto"/>
        <w:ind w:left="567"/>
        <w:contextualSpacing w:val="0"/>
        <w:jc w:val="both"/>
        <w:rPr>
          <w:rFonts w:ascii="David" w:hAnsi="David" w:cs="David"/>
          <w:sz w:val="24"/>
          <w:szCs w:val="24"/>
        </w:rPr>
      </w:pPr>
    </w:p>
    <w:p w:rsidR="00570148" w:rsidRDefault="006A03CB" w:rsidP="005D7C89">
      <w:pPr>
        <w:pStyle w:val="ad"/>
        <w:numPr>
          <w:ilvl w:val="0"/>
          <w:numId w:val="1"/>
        </w:numPr>
        <w:tabs>
          <w:tab w:val="left" w:pos="567"/>
        </w:tabs>
        <w:spacing w:after="0" w:line="360" w:lineRule="auto"/>
        <w:ind w:left="567" w:hanging="567"/>
        <w:contextualSpacing w:val="0"/>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570148">
        <w:rPr>
          <w:rFonts w:ascii="David" w:hAnsi="David" w:cs="David"/>
          <w:sz w:val="24"/>
          <w:szCs w:val="24"/>
          <w:rtl/>
        </w:rPr>
        <w:t xml:space="preserve">לטענת המשיבות, חל על טענת המתנגדת השתק שיפוטי מלטעון כיום כי הייתה ידועה בציבור של המנוח, עת הקפידה להצהיר (בין השנים 2011-2015) בטפסי 101 למס הכנסה, כי אין לה בן זוג וכי אין לבן זוגה הכנסה. </w:t>
      </w:r>
    </w:p>
    <w:p w:rsidR="006A03CB" w:rsidRDefault="006A03CB" w:rsidP="005D7C89">
      <w:pPr>
        <w:pStyle w:val="ad"/>
        <w:tabs>
          <w:tab w:val="left" w:pos="567"/>
        </w:tabs>
        <w:spacing w:after="0" w:line="360" w:lineRule="auto"/>
        <w:ind w:left="567"/>
        <w:contextualSpacing w:val="0"/>
        <w:jc w:val="both"/>
        <w:rPr>
          <w:rFonts w:ascii="David" w:hAnsi="David" w:cs="David"/>
          <w:sz w:val="24"/>
          <w:szCs w:val="24"/>
        </w:rPr>
      </w:pPr>
    </w:p>
    <w:p w:rsidR="00570148" w:rsidRDefault="006A03CB" w:rsidP="005D7C89">
      <w:pPr>
        <w:pStyle w:val="ad"/>
        <w:numPr>
          <w:ilvl w:val="0"/>
          <w:numId w:val="1"/>
        </w:numPr>
        <w:tabs>
          <w:tab w:val="left" w:pos="567"/>
        </w:tabs>
        <w:spacing w:after="0" w:line="360" w:lineRule="auto"/>
        <w:ind w:left="567" w:hanging="567"/>
        <w:contextualSpacing w:val="0"/>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570148">
        <w:rPr>
          <w:rFonts w:ascii="David" w:hAnsi="David" w:cs="David"/>
          <w:sz w:val="24"/>
          <w:szCs w:val="24"/>
          <w:rtl/>
        </w:rPr>
        <w:t xml:space="preserve">המשיבות חולקות על טענת המתנגדת, כי יש בקביעות בית הדין לענייני עבודה בסע"ש 21605-12-15 בעניין היות המנוח והמתנגדת בני זוג ידועים בציבור, כדי להשליך על ההליכים דנן, עת הסעדים והצדדים אינם זהים, ושעה שבית הדין לעבודה כלל לא נדרש לשאלת ההכרה כידועה בציבור וממילא לא בחן את התנאים והדרישות להכרה במתנגדת (התובעת בהליך שם) כידועה בציבור. </w:t>
      </w:r>
    </w:p>
    <w:p w:rsidR="006A03CB" w:rsidRDefault="006A03CB" w:rsidP="005D7C89">
      <w:pPr>
        <w:pStyle w:val="ad"/>
        <w:tabs>
          <w:tab w:val="left" w:pos="567"/>
        </w:tabs>
        <w:spacing w:after="0" w:line="360" w:lineRule="auto"/>
        <w:ind w:left="567"/>
        <w:contextualSpacing w:val="0"/>
        <w:jc w:val="both"/>
        <w:rPr>
          <w:rFonts w:ascii="David" w:hAnsi="David" w:cs="David"/>
          <w:sz w:val="24"/>
          <w:szCs w:val="24"/>
        </w:rPr>
      </w:pPr>
    </w:p>
    <w:p w:rsidR="00570148" w:rsidRDefault="006A03CB" w:rsidP="00447236">
      <w:pPr>
        <w:pStyle w:val="ad"/>
        <w:numPr>
          <w:ilvl w:val="0"/>
          <w:numId w:val="1"/>
        </w:numPr>
        <w:tabs>
          <w:tab w:val="left" w:pos="567"/>
        </w:tabs>
        <w:spacing w:after="0" w:line="360" w:lineRule="auto"/>
        <w:ind w:left="567" w:hanging="567"/>
        <w:contextualSpacing w:val="0"/>
        <w:jc w:val="both"/>
        <w:rPr>
          <w:rFonts w:ascii="David" w:hAnsi="David" w:cs="David"/>
          <w:sz w:val="24"/>
          <w:szCs w:val="24"/>
        </w:rPr>
      </w:pPr>
      <w:r>
        <w:rPr>
          <w:rFonts w:ascii="David" w:hAnsi="David" w:cs="David" w:hint="cs"/>
          <w:sz w:val="24"/>
          <w:szCs w:val="24"/>
          <w:rtl/>
        </w:rPr>
        <w:t xml:space="preserve"> </w:t>
      </w:r>
      <w:r>
        <w:rPr>
          <w:rFonts w:ascii="David" w:hAnsi="David" w:cs="David" w:hint="cs"/>
          <w:sz w:val="24"/>
          <w:szCs w:val="24"/>
          <w:rtl/>
        </w:rPr>
        <w:tab/>
      </w:r>
      <w:r w:rsidR="00570148">
        <w:rPr>
          <w:rFonts w:ascii="David" w:hAnsi="David" w:cs="David"/>
          <w:sz w:val="24"/>
          <w:szCs w:val="24"/>
          <w:rtl/>
        </w:rPr>
        <w:t>אשר לטיב היחסים בין המנוח לאשתו, נטען על ידי המשיבות, כי המנוח והמשיבה 1 ניהלו חיי משפחה תקינים ומלאים לכל דבר ועניין; המנוח לא התכוון להתגרש או להיפרד מהמשיבה 1; המנוח והמשיבה 1 ישנו באותה מיטה; המשיבה 1 ומשפחת המנוח לא ידעו על מערכת היחסים של המנוח עם המתנגדת; המנוח לן מחוץ לביתו ב</w:t>
      </w:r>
      <w:r w:rsidR="00447236">
        <w:rPr>
          <w:rFonts w:ascii="David" w:hAnsi="David" w:cs="David" w:hint="cs"/>
          <w:sz w:val="24"/>
          <w:szCs w:val="24"/>
          <w:rtl/>
        </w:rPr>
        <w:t>-</w:t>
      </w:r>
      <w:r w:rsidR="00570148">
        <w:rPr>
          <w:rFonts w:ascii="David" w:hAnsi="David" w:cs="David"/>
          <w:sz w:val="24"/>
          <w:szCs w:val="24"/>
          <w:rtl/>
        </w:rPr>
        <w:t>מ</w:t>
      </w:r>
      <w:r w:rsidR="00447236">
        <w:rPr>
          <w:rFonts w:ascii="David" w:hAnsi="David" w:cs="David" w:hint="cs"/>
          <w:sz w:val="24"/>
          <w:szCs w:val="24"/>
          <w:rtl/>
        </w:rPr>
        <w:t>'</w:t>
      </w:r>
      <w:r w:rsidR="00570148">
        <w:rPr>
          <w:rFonts w:ascii="David" w:hAnsi="David" w:cs="David"/>
          <w:sz w:val="24"/>
          <w:szCs w:val="24"/>
          <w:rtl/>
        </w:rPr>
        <w:t xml:space="preserve"> לכל היותר שני לילות בשבוע ולאחר שהתדרדר מצבו בתחילת שנת 2015 היה חוזר לישון ב</w:t>
      </w:r>
      <w:r w:rsidR="00447236">
        <w:rPr>
          <w:rFonts w:ascii="David" w:hAnsi="David" w:cs="David" w:hint="cs"/>
          <w:sz w:val="24"/>
          <w:szCs w:val="24"/>
          <w:rtl/>
        </w:rPr>
        <w:t>-מ'</w:t>
      </w:r>
      <w:r w:rsidR="00570148">
        <w:rPr>
          <w:rFonts w:ascii="David" w:hAnsi="David" w:cs="David"/>
          <w:sz w:val="24"/>
          <w:szCs w:val="24"/>
          <w:rtl/>
        </w:rPr>
        <w:t xml:space="preserve"> מדי לילה; המנוח הקפיד לשהות בביתו שב</w:t>
      </w:r>
      <w:r w:rsidR="00447236">
        <w:rPr>
          <w:rFonts w:ascii="David" w:hAnsi="David" w:cs="David" w:hint="cs"/>
          <w:sz w:val="24"/>
          <w:szCs w:val="24"/>
          <w:rtl/>
        </w:rPr>
        <w:t>-מ'</w:t>
      </w:r>
      <w:r w:rsidR="00570148">
        <w:rPr>
          <w:rFonts w:ascii="David" w:hAnsi="David" w:cs="David"/>
          <w:sz w:val="24"/>
          <w:szCs w:val="24"/>
          <w:rtl/>
        </w:rPr>
        <w:t xml:space="preserve"> בכל שבת וחג ונהג להפעיל את בית הכנסת בישוב שהיה מרכז חייו; המנוח והמשיבה 1 היו בעלים משותפים של בית המגורים המשפחתי ב</w:t>
      </w:r>
      <w:r w:rsidR="00447236">
        <w:rPr>
          <w:rFonts w:ascii="David" w:hAnsi="David" w:cs="David" w:hint="cs"/>
          <w:sz w:val="24"/>
          <w:szCs w:val="24"/>
          <w:rtl/>
        </w:rPr>
        <w:t>-</w:t>
      </w:r>
      <w:r w:rsidR="00570148">
        <w:rPr>
          <w:rFonts w:ascii="David" w:hAnsi="David" w:cs="David"/>
          <w:sz w:val="24"/>
          <w:szCs w:val="24"/>
          <w:rtl/>
        </w:rPr>
        <w:t>מ</w:t>
      </w:r>
      <w:r w:rsidR="00447236">
        <w:rPr>
          <w:rFonts w:ascii="David" w:hAnsi="David" w:cs="David" w:hint="cs"/>
          <w:sz w:val="24"/>
          <w:szCs w:val="24"/>
          <w:rtl/>
        </w:rPr>
        <w:t>'</w:t>
      </w:r>
      <w:r w:rsidR="00570148">
        <w:rPr>
          <w:rFonts w:ascii="David" w:hAnsi="David" w:cs="David"/>
          <w:sz w:val="24"/>
          <w:szCs w:val="24"/>
          <w:rtl/>
        </w:rPr>
        <w:t xml:space="preserve"> והתקיימו בשיתוף מההכנסות של שניהם, מעסק המנוח ומשכורתה של המשיבה 1; המנוח והמשיבה 1 הגישו למס הכנסה דו"ח משותף על הכנסותיהם לאורך כל השנים, והמשיבה 1 אף חויבה לשלם חוב למס הכנסה בסך של מאות אלפי שקלים. </w:t>
      </w:r>
    </w:p>
    <w:p w:rsidR="00570148" w:rsidRDefault="00570148" w:rsidP="005D7C89">
      <w:pPr>
        <w:tabs>
          <w:tab w:val="left" w:pos="567"/>
        </w:tabs>
        <w:spacing w:line="360" w:lineRule="auto"/>
        <w:ind w:left="567" w:hanging="567"/>
        <w:jc w:val="both"/>
        <w:rPr>
          <w:rFonts w:ascii="David" w:hAnsi="David"/>
          <w:b/>
          <w:bCs/>
          <w:u w:val="single"/>
          <w:rtl/>
        </w:rPr>
      </w:pPr>
    </w:p>
    <w:p w:rsidR="00570148" w:rsidRDefault="00570148" w:rsidP="005D7C89">
      <w:pPr>
        <w:tabs>
          <w:tab w:val="left" w:pos="567"/>
        </w:tabs>
        <w:spacing w:line="360" w:lineRule="auto"/>
        <w:ind w:left="567" w:hanging="567"/>
        <w:jc w:val="both"/>
        <w:rPr>
          <w:rFonts w:ascii="David" w:hAnsi="David"/>
          <w:b/>
          <w:bCs/>
          <w:u w:val="single"/>
          <w:rtl/>
        </w:rPr>
      </w:pPr>
      <w:r>
        <w:rPr>
          <w:rFonts w:ascii="David" w:hAnsi="David"/>
          <w:b/>
          <w:bCs/>
          <w:u w:val="single"/>
          <w:rtl/>
        </w:rPr>
        <w:t>דיון והכרעה</w:t>
      </w:r>
    </w:p>
    <w:p w:rsidR="006A03CB" w:rsidRDefault="006A03CB" w:rsidP="005D7C89">
      <w:pPr>
        <w:tabs>
          <w:tab w:val="left" w:pos="84"/>
        </w:tabs>
        <w:spacing w:line="360" w:lineRule="auto"/>
        <w:jc w:val="both"/>
        <w:rPr>
          <w:rFonts w:ascii="David" w:hAnsi="David"/>
          <w:rtl/>
        </w:rPr>
      </w:pPr>
    </w:p>
    <w:p w:rsidR="00570148" w:rsidRDefault="00570148" w:rsidP="005D7C89">
      <w:pPr>
        <w:tabs>
          <w:tab w:val="left" w:pos="84"/>
        </w:tabs>
        <w:spacing w:line="360" w:lineRule="auto"/>
        <w:jc w:val="both"/>
        <w:rPr>
          <w:rFonts w:ascii="David" w:hAnsi="David"/>
          <w:rtl/>
        </w:rPr>
      </w:pPr>
      <w:r>
        <w:rPr>
          <w:rFonts w:ascii="David" w:hAnsi="David"/>
          <w:rtl/>
        </w:rPr>
        <w:t>השאלה העומדת להכרעה – מי נחשבת בת זוגו של המנוח לצורך ירושת עזבונו כהוראת סעיפים 10-11 לחוק הירושה? המשיבה 1, אלמנתו, או שמא המתנגדת, אשר לטענתה הייתה בת זוגו "האמתית".</w:t>
      </w:r>
    </w:p>
    <w:p w:rsidR="006A03CB" w:rsidRDefault="006A03CB" w:rsidP="005D7C89">
      <w:pPr>
        <w:tabs>
          <w:tab w:val="left" w:pos="567"/>
        </w:tabs>
        <w:spacing w:line="360" w:lineRule="auto"/>
        <w:ind w:left="567" w:hanging="567"/>
        <w:jc w:val="both"/>
        <w:rPr>
          <w:rFonts w:ascii="David" w:hAnsi="David"/>
          <w:b/>
          <w:bCs/>
          <w:u w:val="single"/>
          <w:rtl/>
        </w:rPr>
      </w:pPr>
    </w:p>
    <w:p w:rsidR="00570148" w:rsidRDefault="00570148" w:rsidP="005D7C89">
      <w:pPr>
        <w:tabs>
          <w:tab w:val="left" w:pos="567"/>
        </w:tabs>
        <w:spacing w:line="360" w:lineRule="auto"/>
        <w:ind w:left="567" w:hanging="567"/>
        <w:jc w:val="both"/>
        <w:rPr>
          <w:rFonts w:ascii="David" w:hAnsi="David"/>
          <w:b/>
          <w:bCs/>
          <w:u w:val="single"/>
          <w:rtl/>
        </w:rPr>
      </w:pPr>
      <w:r>
        <w:rPr>
          <w:rFonts w:ascii="David" w:hAnsi="David"/>
          <w:b/>
          <w:bCs/>
          <w:u w:val="single"/>
          <w:rtl/>
        </w:rPr>
        <w:t>האם המתנגדת זכאית לרשת את המנוח כבת זוגו מכוח סעיפים 10-11 לחוק הירושה?</w:t>
      </w:r>
    </w:p>
    <w:p w:rsidR="006A03CB" w:rsidRDefault="006A03CB" w:rsidP="005D7C89">
      <w:pPr>
        <w:tabs>
          <w:tab w:val="left" w:pos="567"/>
        </w:tabs>
        <w:spacing w:line="360" w:lineRule="auto"/>
        <w:ind w:left="567" w:hanging="567"/>
        <w:jc w:val="both"/>
        <w:rPr>
          <w:rFonts w:ascii="David" w:hAnsi="David"/>
          <w:b/>
          <w:bCs/>
          <w:u w:val="single"/>
          <w:rtl/>
        </w:rPr>
      </w:pPr>
    </w:p>
    <w:p w:rsidR="00570148" w:rsidRDefault="00570148" w:rsidP="005D7C89">
      <w:pPr>
        <w:pStyle w:val="ruller4"/>
        <w:numPr>
          <w:ilvl w:val="0"/>
          <w:numId w:val="1"/>
        </w:numPr>
        <w:shd w:val="clear" w:color="auto" w:fill="FFFFFF"/>
        <w:tabs>
          <w:tab w:val="left" w:pos="567"/>
        </w:tabs>
        <w:bidi/>
        <w:spacing w:before="0" w:beforeAutospacing="0" w:after="0" w:afterAutospacing="0" w:line="360" w:lineRule="auto"/>
        <w:ind w:left="567" w:hanging="567"/>
        <w:jc w:val="both"/>
        <w:rPr>
          <w:rFonts w:ascii="David" w:eastAsiaTheme="minorHAnsi" w:hAnsi="David" w:cs="David"/>
        </w:rPr>
      </w:pPr>
      <w:r w:rsidRPr="006A03CB">
        <w:t xml:space="preserve"> </w:t>
      </w:r>
      <w:r w:rsidRPr="006A03CB">
        <w:tab/>
      </w:r>
      <w:hyperlink r:id="rId9" w:tgtFrame="blank" w:history="1">
        <w:r w:rsidRPr="006A03CB">
          <w:rPr>
            <w:rStyle w:val="Hyperlink"/>
            <w:rFonts w:ascii="David" w:eastAsiaTheme="minorHAnsi" w:hAnsi="David" w:cs="David"/>
            <w:color w:val="auto"/>
            <w:u w:val="none"/>
            <w:rtl/>
          </w:rPr>
          <w:t>הפרק השני</w:t>
        </w:r>
      </w:hyperlink>
      <w:r w:rsidRPr="006A03CB">
        <w:rPr>
          <w:rFonts w:ascii="David" w:eastAsiaTheme="minorHAnsi" w:hAnsi="David" w:cs="David"/>
          <w:rtl/>
        </w:rPr>
        <w:t> ל</w:t>
      </w:r>
      <w:hyperlink r:id="rId10" w:tgtFrame="blank" w:history="1">
        <w:r w:rsidRPr="006A03CB">
          <w:rPr>
            <w:rStyle w:val="Hyperlink"/>
            <w:rFonts w:ascii="David" w:eastAsiaTheme="minorHAnsi" w:hAnsi="David" w:cs="David"/>
            <w:color w:val="auto"/>
            <w:u w:val="none"/>
            <w:rtl/>
          </w:rPr>
          <w:t>חוק הירושה</w:t>
        </w:r>
      </w:hyperlink>
      <w:r w:rsidRPr="006A03CB">
        <w:rPr>
          <w:rFonts w:ascii="David" w:eastAsiaTheme="minorHAnsi" w:hAnsi="David" w:cs="David"/>
          <w:rtl/>
        </w:rPr>
        <w:t> קובע את היורשים על פי דין ואת חלקו של כל אחד מהם בעיזבון המוריש. זכויות הירושה לפי פרק זה כפופות להוראות המוריש בצוואתו. סעיף 10 לחוק הירושה קובע כי בהעדר צוואה, היורשים על פי דין הם:</w:t>
      </w:r>
    </w:p>
    <w:p w:rsidR="00EB48D9" w:rsidRPr="006A03CB" w:rsidRDefault="00EB48D9" w:rsidP="00EB48D9">
      <w:pPr>
        <w:pStyle w:val="ruller4"/>
        <w:shd w:val="clear" w:color="auto" w:fill="FFFFFF"/>
        <w:tabs>
          <w:tab w:val="left" w:pos="567"/>
        </w:tabs>
        <w:bidi/>
        <w:spacing w:before="0" w:beforeAutospacing="0" w:after="0" w:afterAutospacing="0" w:line="360" w:lineRule="auto"/>
        <w:ind w:left="567"/>
        <w:jc w:val="both"/>
        <w:rPr>
          <w:rFonts w:ascii="David" w:eastAsiaTheme="minorHAnsi" w:hAnsi="David" w:cs="David"/>
          <w:rtl/>
        </w:rPr>
      </w:pPr>
    </w:p>
    <w:p w:rsidR="00570148" w:rsidRPr="006A03CB" w:rsidRDefault="00570148" w:rsidP="005D7C89">
      <w:pPr>
        <w:pStyle w:val="ruller5"/>
        <w:shd w:val="clear" w:color="auto" w:fill="FFFFFF"/>
        <w:tabs>
          <w:tab w:val="left" w:pos="1076"/>
        </w:tabs>
        <w:bidi/>
        <w:spacing w:before="0" w:beforeAutospacing="0" w:after="0" w:afterAutospacing="0" w:line="360" w:lineRule="auto"/>
        <w:ind w:left="1076" w:right="426"/>
        <w:jc w:val="both"/>
        <w:rPr>
          <w:rFonts w:ascii="David" w:eastAsiaTheme="minorHAnsi" w:hAnsi="David" w:cs="David"/>
          <w:b/>
          <w:bCs/>
        </w:rPr>
      </w:pPr>
      <w:r w:rsidRPr="006A03CB">
        <w:rPr>
          <w:rFonts w:ascii="David" w:eastAsiaTheme="minorHAnsi" w:hAnsi="David" w:cs="David"/>
          <w:b/>
          <w:bCs/>
          <w:rtl/>
        </w:rPr>
        <w:t>"(1) מי שהיה במות המוריש בן-זוגו;</w:t>
      </w:r>
    </w:p>
    <w:p w:rsidR="00570148" w:rsidRPr="006A03CB" w:rsidRDefault="00570148" w:rsidP="005D7C89">
      <w:pPr>
        <w:pStyle w:val="ruller5"/>
        <w:shd w:val="clear" w:color="auto" w:fill="FFFFFF"/>
        <w:tabs>
          <w:tab w:val="left" w:pos="1076"/>
        </w:tabs>
        <w:bidi/>
        <w:spacing w:before="0" w:beforeAutospacing="0" w:after="0" w:afterAutospacing="0" w:line="360" w:lineRule="auto"/>
        <w:ind w:left="1076" w:right="426"/>
        <w:jc w:val="both"/>
        <w:rPr>
          <w:rFonts w:ascii="David" w:eastAsiaTheme="minorHAnsi" w:hAnsi="David" w:cs="David"/>
          <w:b/>
          <w:bCs/>
          <w:rtl/>
        </w:rPr>
      </w:pPr>
      <w:r w:rsidRPr="006A03CB">
        <w:rPr>
          <w:rFonts w:ascii="David" w:eastAsiaTheme="minorHAnsi" w:hAnsi="David" w:cs="David"/>
          <w:b/>
          <w:bCs/>
          <w:rtl/>
        </w:rPr>
        <w:t>(2) ילדי המוריש וצאצאיהם, הוריו וצאצאיהם, הורי הוריו וצאצאיהם (בחוק  זה – קרובי המוריש);"</w:t>
      </w:r>
    </w:p>
    <w:p w:rsidR="006A03CB" w:rsidRPr="006A03CB" w:rsidRDefault="006A03CB" w:rsidP="005D7C89">
      <w:pPr>
        <w:pStyle w:val="ruller5"/>
        <w:shd w:val="clear" w:color="auto" w:fill="FFFFFF"/>
        <w:tabs>
          <w:tab w:val="left" w:pos="1076"/>
        </w:tabs>
        <w:bidi/>
        <w:spacing w:before="0" w:beforeAutospacing="0" w:after="0" w:afterAutospacing="0" w:line="360" w:lineRule="auto"/>
        <w:ind w:left="1076" w:right="426"/>
        <w:jc w:val="both"/>
        <w:rPr>
          <w:rFonts w:ascii="David" w:eastAsiaTheme="minorHAnsi" w:hAnsi="David" w:cs="David"/>
          <w:b/>
          <w:bCs/>
          <w:rtl/>
        </w:rPr>
      </w:pPr>
    </w:p>
    <w:p w:rsidR="00570148" w:rsidRPr="006A03CB" w:rsidRDefault="00570148" w:rsidP="005D7C89">
      <w:pPr>
        <w:pStyle w:val="ruller4"/>
        <w:numPr>
          <w:ilvl w:val="0"/>
          <w:numId w:val="1"/>
        </w:numPr>
        <w:shd w:val="clear" w:color="auto" w:fill="FFFFFF"/>
        <w:tabs>
          <w:tab w:val="left" w:pos="567"/>
        </w:tabs>
        <w:bidi/>
        <w:spacing w:before="0" w:beforeAutospacing="0" w:after="0" w:afterAutospacing="0" w:line="360" w:lineRule="auto"/>
        <w:ind w:left="567" w:hanging="567"/>
        <w:jc w:val="both"/>
        <w:rPr>
          <w:rFonts w:ascii="David" w:hAnsi="David" w:cs="David"/>
        </w:rPr>
      </w:pPr>
      <w:r w:rsidRPr="006A03CB">
        <w:rPr>
          <w:rFonts w:ascii="David" w:eastAsiaTheme="minorHAnsi" w:hAnsi="David" w:cs="David"/>
          <w:rtl/>
        </w:rPr>
        <w:t xml:space="preserve"> </w:t>
      </w:r>
      <w:r w:rsidRPr="006A03CB">
        <w:rPr>
          <w:rFonts w:ascii="David" w:eastAsiaTheme="minorHAnsi" w:hAnsi="David" w:cs="David"/>
          <w:rtl/>
        </w:rPr>
        <w:tab/>
        <w:t>היקפה של זכות הירושה של בן הזוג, המשתנה בהתאם למידת קרבתם של היורשים הנוספים למוריש, מפורטת </w:t>
      </w:r>
      <w:hyperlink r:id="rId11" w:tgtFrame="blank" w:history="1">
        <w:r w:rsidRPr="006A03CB">
          <w:rPr>
            <w:rStyle w:val="Hyperlink"/>
            <w:rFonts w:ascii="David" w:eastAsiaTheme="minorHAnsi" w:hAnsi="David" w:cs="David"/>
            <w:color w:val="auto"/>
            <w:u w:val="none"/>
            <w:rtl/>
          </w:rPr>
          <w:t>בסעיף 11</w:t>
        </w:r>
      </w:hyperlink>
      <w:r w:rsidRPr="006A03CB">
        <w:rPr>
          <w:rFonts w:ascii="David" w:eastAsiaTheme="minorHAnsi" w:hAnsi="David" w:cs="David"/>
          <w:rtl/>
        </w:rPr>
        <w:t> ל</w:t>
      </w:r>
      <w:hyperlink r:id="rId12" w:tgtFrame="blank" w:history="1">
        <w:r w:rsidRPr="006A03CB">
          <w:rPr>
            <w:rStyle w:val="Hyperlink"/>
            <w:rFonts w:ascii="David" w:eastAsiaTheme="minorHAnsi" w:hAnsi="David" w:cs="David"/>
            <w:color w:val="auto"/>
            <w:u w:val="none"/>
            <w:rtl/>
          </w:rPr>
          <w:t>חוק הירושה</w:t>
        </w:r>
      </w:hyperlink>
      <w:r w:rsidRPr="006A03CB">
        <w:rPr>
          <w:rFonts w:ascii="David" w:hAnsi="David" w:cs="David"/>
          <w:rtl/>
        </w:rPr>
        <w:t>.</w:t>
      </w:r>
    </w:p>
    <w:p w:rsidR="006A03CB" w:rsidRPr="006A03CB" w:rsidRDefault="006A03CB" w:rsidP="005D7C89">
      <w:pPr>
        <w:pStyle w:val="ruller4"/>
        <w:shd w:val="clear" w:color="auto" w:fill="FFFFFF"/>
        <w:tabs>
          <w:tab w:val="left" w:pos="567"/>
        </w:tabs>
        <w:bidi/>
        <w:spacing w:before="0" w:beforeAutospacing="0" w:after="0" w:afterAutospacing="0" w:line="360" w:lineRule="auto"/>
        <w:ind w:left="567"/>
        <w:jc w:val="both"/>
        <w:rPr>
          <w:rFonts w:ascii="David" w:hAnsi="David" w:cs="David"/>
          <w:rtl/>
        </w:rPr>
      </w:pPr>
    </w:p>
    <w:p w:rsidR="00570148" w:rsidRDefault="00570148" w:rsidP="005D7C89">
      <w:pPr>
        <w:pStyle w:val="ruller4"/>
        <w:numPr>
          <w:ilvl w:val="0"/>
          <w:numId w:val="1"/>
        </w:numPr>
        <w:shd w:val="clear" w:color="auto" w:fill="FFFFFF"/>
        <w:tabs>
          <w:tab w:val="left" w:pos="567"/>
        </w:tabs>
        <w:bidi/>
        <w:spacing w:before="0" w:beforeAutospacing="0" w:after="0" w:afterAutospacing="0" w:line="360" w:lineRule="auto"/>
        <w:ind w:left="567" w:hanging="567"/>
        <w:jc w:val="both"/>
        <w:rPr>
          <w:rFonts w:ascii="David" w:hAnsi="David" w:cs="David"/>
        </w:rPr>
      </w:pPr>
      <w:r w:rsidRPr="006A03CB">
        <w:rPr>
          <w:rFonts w:ascii="David" w:hAnsi="David" w:cs="David"/>
          <w:rtl/>
        </w:rPr>
        <w:t xml:space="preserve"> </w:t>
      </w:r>
      <w:r w:rsidRPr="006A03CB">
        <w:rPr>
          <w:rFonts w:ascii="David" w:hAnsi="David" w:cs="David"/>
          <w:rtl/>
        </w:rPr>
        <w:tab/>
        <w:t xml:space="preserve">לצד הסדר הירושה של בן זוג מכוח סעיפים 10-11, נקבע בסעיף 55 לחוק הירושה הסדר מקביל </w:t>
      </w:r>
      <w:r>
        <w:rPr>
          <w:rFonts w:ascii="David" w:hAnsi="David" w:cs="David"/>
          <w:rtl/>
        </w:rPr>
        <w:t>ביחס לידועים בציבור, כדלהלן:</w:t>
      </w:r>
    </w:p>
    <w:p w:rsidR="00EB48D9" w:rsidRDefault="00EB48D9" w:rsidP="00EB48D9">
      <w:pPr>
        <w:pStyle w:val="ruller4"/>
        <w:shd w:val="clear" w:color="auto" w:fill="FFFFFF"/>
        <w:tabs>
          <w:tab w:val="left" w:pos="567"/>
        </w:tabs>
        <w:bidi/>
        <w:spacing w:before="0" w:beforeAutospacing="0" w:after="0" w:afterAutospacing="0" w:line="360" w:lineRule="auto"/>
        <w:jc w:val="both"/>
        <w:rPr>
          <w:rFonts w:ascii="David" w:hAnsi="David" w:cs="David"/>
        </w:rPr>
      </w:pPr>
    </w:p>
    <w:p w:rsidR="00570148" w:rsidRDefault="00570148" w:rsidP="005D7C89">
      <w:pPr>
        <w:pStyle w:val="ruller4"/>
        <w:shd w:val="clear" w:color="auto" w:fill="FFFFFF"/>
        <w:tabs>
          <w:tab w:val="left" w:pos="1076"/>
        </w:tabs>
        <w:bidi/>
        <w:spacing w:before="0" w:beforeAutospacing="0" w:after="0" w:afterAutospacing="0" w:line="360" w:lineRule="auto"/>
        <w:ind w:left="1076" w:right="426"/>
        <w:jc w:val="both"/>
        <w:rPr>
          <w:rFonts w:ascii="David" w:hAnsi="David" w:cs="David"/>
          <w:b/>
          <w:bCs/>
          <w:rtl/>
        </w:rPr>
      </w:pPr>
      <w:r>
        <w:rPr>
          <w:rFonts w:ascii="David" w:hAnsi="David" w:cs="David"/>
          <w:b/>
          <w:bCs/>
          <w:rtl/>
        </w:rPr>
        <w:t>"איש ואשה החיים חיי משפחה במשק בית משותף אך אינם נשואים זה לזה, ומת אחד מהם ובשעת מותו אף אחד מהם לא היה נשוי לאדם אחר, רואים את הנשאר בחיים כאילו המוריש ציווה לו מה שהנשאר בחיים היה מקבל בירושה על-פי דין אילו היו נשואים זה לזה, והוא כשאין הוראה אחרת, מפורשת או משתמעת, בצוואה שהשאיר המוריש."</w:t>
      </w:r>
    </w:p>
    <w:p w:rsidR="006A03CB" w:rsidRDefault="006A03CB" w:rsidP="005D7C89">
      <w:pPr>
        <w:pStyle w:val="ruller4"/>
        <w:shd w:val="clear" w:color="auto" w:fill="FFFFFF"/>
        <w:tabs>
          <w:tab w:val="left" w:pos="1076"/>
        </w:tabs>
        <w:bidi/>
        <w:spacing w:before="0" w:beforeAutospacing="0" w:after="0" w:afterAutospacing="0" w:line="360" w:lineRule="auto"/>
        <w:ind w:left="1076" w:right="426"/>
        <w:jc w:val="both"/>
        <w:rPr>
          <w:rFonts w:ascii="David" w:hAnsi="David" w:cs="David"/>
          <w:b/>
          <w:bCs/>
        </w:rPr>
      </w:pPr>
    </w:p>
    <w:p w:rsidR="00570148" w:rsidRDefault="00570148" w:rsidP="005D7C89">
      <w:pPr>
        <w:pStyle w:val="ruller4"/>
        <w:numPr>
          <w:ilvl w:val="0"/>
          <w:numId w:val="1"/>
        </w:numPr>
        <w:shd w:val="clear" w:color="auto" w:fill="FFFFFF"/>
        <w:tabs>
          <w:tab w:val="left" w:pos="567"/>
        </w:tabs>
        <w:bidi/>
        <w:spacing w:before="0" w:beforeAutospacing="0" w:after="0" w:afterAutospacing="0" w:line="360" w:lineRule="auto"/>
        <w:ind w:left="567" w:hanging="567"/>
        <w:jc w:val="both"/>
        <w:rPr>
          <w:rFonts w:ascii="David" w:hAnsi="David" w:cs="David"/>
        </w:rPr>
      </w:pPr>
      <w:r>
        <w:rPr>
          <w:rFonts w:ascii="David" w:hAnsi="David" w:cs="David"/>
          <w:rtl/>
        </w:rPr>
        <w:tab/>
        <w:t>כבר לעת הזו ייאמר, כי לאור העובדה שהמחוקק מצא לקבוע בסעיף 55 לחוק הירושה הסדר מקביל ונפרד ביחס לידועים בציבור, משתמעת עמדתו העקרונית לפיה "בן הזוג" לפי סעיפים 10-11 לחוק הוא מי שהיה נשוי באופן פורמאלי למוריש ערב פטירתו.</w:t>
      </w:r>
    </w:p>
    <w:p w:rsidR="006A03CB" w:rsidRDefault="006A03CB" w:rsidP="005D7C89">
      <w:pPr>
        <w:pStyle w:val="ruller4"/>
        <w:shd w:val="clear" w:color="auto" w:fill="FFFFFF"/>
        <w:tabs>
          <w:tab w:val="left" w:pos="567"/>
        </w:tabs>
        <w:bidi/>
        <w:spacing w:before="0" w:beforeAutospacing="0" w:after="0" w:afterAutospacing="0" w:line="360" w:lineRule="auto"/>
        <w:ind w:left="567"/>
        <w:jc w:val="both"/>
        <w:rPr>
          <w:rFonts w:ascii="David" w:hAnsi="David" w:cs="David"/>
        </w:rPr>
      </w:pPr>
    </w:p>
    <w:p w:rsidR="00570148" w:rsidRDefault="00570148" w:rsidP="005D7C89">
      <w:pPr>
        <w:pStyle w:val="ad"/>
        <w:numPr>
          <w:ilvl w:val="0"/>
          <w:numId w:val="1"/>
        </w:numPr>
        <w:tabs>
          <w:tab w:val="left" w:pos="567"/>
        </w:tabs>
        <w:spacing w:after="0" w:line="360" w:lineRule="auto"/>
        <w:ind w:left="567" w:hanging="567"/>
        <w:contextualSpacing w:val="0"/>
        <w:jc w:val="both"/>
        <w:rPr>
          <w:rFonts w:ascii="David" w:hAnsi="David" w:cs="David"/>
          <w:sz w:val="24"/>
          <w:szCs w:val="24"/>
        </w:rPr>
      </w:pPr>
      <w:r>
        <w:rPr>
          <w:rFonts w:ascii="David" w:hAnsi="David" w:cs="David"/>
          <w:sz w:val="24"/>
          <w:szCs w:val="24"/>
          <w:rtl/>
        </w:rPr>
        <w:t xml:space="preserve"> </w:t>
      </w:r>
      <w:r>
        <w:rPr>
          <w:rFonts w:ascii="David" w:hAnsi="David" w:cs="David"/>
          <w:sz w:val="24"/>
          <w:szCs w:val="24"/>
          <w:rtl/>
        </w:rPr>
        <w:tab/>
        <w:t>חוק הירושה אינו כולל סעיף הגדרות, לא כסעיף מקדמי לחוק ולא בפרק השני לו. לפיכך יש לפרש את המונח "בן זוג" לצורך סעיפים 10 ו- 11 לחוק הירושה, בהתאם לכללי הפרשנות המקובלים ובהתאם לפסיקה שהתגבשה במרוצת השנים למונח זה.</w:t>
      </w:r>
    </w:p>
    <w:p w:rsidR="00570148" w:rsidRDefault="00570148" w:rsidP="005D7C89">
      <w:pPr>
        <w:pStyle w:val="ad"/>
        <w:tabs>
          <w:tab w:val="left" w:pos="567"/>
        </w:tabs>
        <w:spacing w:after="0" w:line="360" w:lineRule="auto"/>
        <w:ind w:left="567"/>
        <w:contextualSpacing w:val="0"/>
        <w:jc w:val="both"/>
        <w:rPr>
          <w:rFonts w:ascii="David" w:hAnsi="David" w:cs="David"/>
          <w:sz w:val="24"/>
          <w:szCs w:val="24"/>
        </w:rPr>
      </w:pPr>
    </w:p>
    <w:p w:rsidR="00570148" w:rsidRDefault="00570148" w:rsidP="005D7C89">
      <w:pPr>
        <w:pStyle w:val="ad"/>
        <w:numPr>
          <w:ilvl w:val="0"/>
          <w:numId w:val="1"/>
        </w:numPr>
        <w:tabs>
          <w:tab w:val="left" w:pos="567"/>
        </w:tabs>
        <w:spacing w:after="0" w:line="360" w:lineRule="auto"/>
        <w:ind w:left="567" w:hanging="567"/>
        <w:contextualSpacing w:val="0"/>
        <w:jc w:val="both"/>
        <w:rPr>
          <w:rFonts w:ascii="David" w:eastAsia="Times New Roman" w:hAnsi="David" w:cs="David"/>
          <w:sz w:val="24"/>
          <w:szCs w:val="24"/>
        </w:rPr>
      </w:pPr>
      <w:r>
        <w:rPr>
          <w:rFonts w:ascii="David" w:hAnsi="David" w:cs="David"/>
          <w:sz w:val="24"/>
          <w:szCs w:val="24"/>
          <w:rtl/>
        </w:rPr>
        <w:t xml:space="preserve"> </w:t>
      </w:r>
      <w:r>
        <w:rPr>
          <w:rFonts w:ascii="David" w:hAnsi="David" w:cs="David"/>
          <w:sz w:val="24"/>
          <w:szCs w:val="24"/>
          <w:rtl/>
        </w:rPr>
        <w:tab/>
        <w:t>המחלוקת שהובאה להכרעתי במסגרת הליך זה הינה כאמור בשאלה האם המתנגדת היא שתחשב כבת זוגו של המנוח כקבוע בסעיף 10 לחוק, נוכח מערכת היחסים הנטענת שהתקיימה בינה ובין המנוח, או המשיבה 1, אשר נישאה למנוח בשנת 1973, והייתה אשתו מאז ובמשך כ-45 שנה עד לפטירתו בשנת 2018. ויודגש; אין מחלוקת עובדתית שבפועל המנוח היה נשוי למשיבה 1 במועד פטירתו ולא למתנגדת. המחלוקת הינה בשאלה האם בנסיבות הקונקרטיות של המקרה דנן, המתנגדת היא שתחשב כבת הזוג הזכאית לזכויות הירושה של בת הזוג עפ"י דין, וזאת חרף העובדה שהמנוח היה נשוי בעת פטירתו למשיבה 1.</w:t>
      </w:r>
    </w:p>
    <w:p w:rsidR="00EB48D9" w:rsidRPr="00EB48D9" w:rsidRDefault="00EB48D9" w:rsidP="00EB48D9">
      <w:pPr>
        <w:tabs>
          <w:tab w:val="left" w:pos="567"/>
        </w:tabs>
        <w:spacing w:line="360" w:lineRule="auto"/>
        <w:jc w:val="both"/>
        <w:rPr>
          <w:rFonts w:ascii="David" w:hAnsi="David"/>
        </w:rPr>
      </w:pPr>
    </w:p>
    <w:p w:rsidR="00570148" w:rsidRDefault="00570148" w:rsidP="005D7C89">
      <w:pPr>
        <w:pStyle w:val="ruller4"/>
        <w:numPr>
          <w:ilvl w:val="0"/>
          <w:numId w:val="1"/>
        </w:numPr>
        <w:shd w:val="clear" w:color="auto" w:fill="FFFFFF"/>
        <w:tabs>
          <w:tab w:val="left" w:pos="567"/>
        </w:tabs>
        <w:bidi/>
        <w:spacing w:before="0" w:beforeAutospacing="0" w:after="0" w:afterAutospacing="0" w:line="360" w:lineRule="auto"/>
        <w:ind w:left="567" w:hanging="567"/>
        <w:jc w:val="both"/>
        <w:rPr>
          <w:rFonts w:ascii="David" w:hAnsi="David" w:cs="David"/>
        </w:rPr>
      </w:pPr>
      <w:r>
        <w:rPr>
          <w:rFonts w:ascii="David" w:hAnsi="David" w:cs="David"/>
          <w:rtl/>
        </w:rPr>
        <w:t xml:space="preserve"> </w:t>
      </w:r>
      <w:r>
        <w:rPr>
          <w:rFonts w:ascii="David" w:hAnsi="David" w:cs="David"/>
          <w:rtl/>
        </w:rPr>
        <w:tab/>
        <w:t>סקירת הפסיקה בבתי המשפט בסוגיה זו מלמדת, כי הדעות נחלקות לשתי גישות באשר לפרשנות המונח "בן זוג" לעניין סעיפים 10 ו- 11 לחוק:</w:t>
      </w:r>
    </w:p>
    <w:p w:rsidR="00D54E89" w:rsidRDefault="00D54E89" w:rsidP="005D7C89">
      <w:pPr>
        <w:pStyle w:val="ruller4"/>
        <w:shd w:val="clear" w:color="auto" w:fill="FFFFFF"/>
        <w:tabs>
          <w:tab w:val="left" w:pos="567"/>
        </w:tabs>
        <w:bidi/>
        <w:spacing w:before="0" w:beforeAutospacing="0" w:after="0" w:afterAutospacing="0" w:line="360" w:lineRule="auto"/>
        <w:ind w:left="567"/>
        <w:jc w:val="both"/>
        <w:rPr>
          <w:rFonts w:ascii="David" w:hAnsi="David" w:cs="David"/>
          <w:u w:val="single"/>
          <w:rtl/>
        </w:rPr>
      </w:pPr>
    </w:p>
    <w:p w:rsidR="00570148" w:rsidRDefault="00570148" w:rsidP="005D7C89">
      <w:pPr>
        <w:pStyle w:val="ruller4"/>
        <w:shd w:val="clear" w:color="auto" w:fill="FFFFFF"/>
        <w:tabs>
          <w:tab w:val="left" w:pos="567"/>
        </w:tabs>
        <w:bidi/>
        <w:spacing w:before="0" w:beforeAutospacing="0" w:after="0" w:afterAutospacing="0" w:line="360" w:lineRule="auto"/>
        <w:ind w:left="567"/>
        <w:jc w:val="both"/>
        <w:rPr>
          <w:rFonts w:ascii="David" w:hAnsi="David" w:cs="David"/>
        </w:rPr>
      </w:pPr>
      <w:r>
        <w:rPr>
          <w:rFonts w:ascii="David" w:hAnsi="David" w:cs="David"/>
          <w:u w:val="single"/>
          <w:rtl/>
        </w:rPr>
        <w:t>הגישה הפורמלית</w:t>
      </w:r>
      <w:r>
        <w:rPr>
          <w:rFonts w:ascii="David" w:hAnsi="David" w:cs="David"/>
          <w:rtl/>
        </w:rPr>
        <w:t xml:space="preserve"> – לפיה המונח "בן זוג" משמעו כמי שבא בקשר נישואין פורמלי, כל עוד לא סודר גט בין בני הזוג או לכל הפחות "הושלש גט", תוך שלא ניתנת כל חשיבות לשאלת טיבה ואופייה של מערכת היחסים בין בני הזוג הנשואים זה לזו, לרבות במקרים בהם בני הזוג חיו בנפרד בעת הפטירה. </w:t>
      </w:r>
    </w:p>
    <w:p w:rsidR="00D54E89" w:rsidRDefault="00D54E89" w:rsidP="005D7C89">
      <w:pPr>
        <w:pStyle w:val="ruller4"/>
        <w:shd w:val="clear" w:color="auto" w:fill="FFFFFF"/>
        <w:tabs>
          <w:tab w:val="left" w:pos="567"/>
        </w:tabs>
        <w:bidi/>
        <w:spacing w:before="0" w:beforeAutospacing="0" w:after="0" w:afterAutospacing="0" w:line="360" w:lineRule="auto"/>
        <w:ind w:left="567"/>
        <w:jc w:val="both"/>
        <w:rPr>
          <w:rFonts w:ascii="David" w:hAnsi="David" w:cs="David"/>
          <w:u w:val="single"/>
          <w:rtl/>
        </w:rPr>
      </w:pPr>
    </w:p>
    <w:p w:rsidR="00570148" w:rsidRDefault="00570148" w:rsidP="005D7C89">
      <w:pPr>
        <w:pStyle w:val="ruller4"/>
        <w:shd w:val="clear" w:color="auto" w:fill="FFFFFF"/>
        <w:tabs>
          <w:tab w:val="left" w:pos="567"/>
        </w:tabs>
        <w:bidi/>
        <w:spacing w:before="0" w:beforeAutospacing="0" w:after="0" w:afterAutospacing="0" w:line="360" w:lineRule="auto"/>
        <w:ind w:left="567"/>
        <w:jc w:val="both"/>
        <w:rPr>
          <w:rFonts w:ascii="David" w:hAnsi="David" w:cs="David"/>
          <w:rtl/>
        </w:rPr>
      </w:pPr>
      <w:r>
        <w:rPr>
          <w:rFonts w:ascii="David" w:hAnsi="David" w:cs="David"/>
          <w:u w:val="single"/>
          <w:rtl/>
        </w:rPr>
        <w:t>הגישה המהותית</w:t>
      </w:r>
      <w:r>
        <w:rPr>
          <w:rFonts w:ascii="David" w:hAnsi="David" w:cs="David"/>
          <w:rtl/>
        </w:rPr>
        <w:t xml:space="preserve"> – לפיה יש לבחון את מערכת היחסים בפועל בין בני הזוג ואת טיבה. כך, לפי גישה זו, "נישואין על הנייר" ריקים מתוכן של זוגיות, לרבות פרידה ארוכת שנים ובצידה ניהול מערכת יחסים זוגית אחרת, מפקיעה את זכות הירושה של "בן הזוג" הרשום ככזה, וזאת גם אם בני הזוג לא התגרשו בפועל. </w:t>
      </w:r>
    </w:p>
    <w:p w:rsidR="006A03CB" w:rsidRDefault="006A03CB" w:rsidP="005D7C89">
      <w:pPr>
        <w:pStyle w:val="ruller4"/>
        <w:shd w:val="clear" w:color="auto" w:fill="FFFFFF"/>
        <w:tabs>
          <w:tab w:val="left" w:pos="567"/>
        </w:tabs>
        <w:bidi/>
        <w:spacing w:before="0" w:beforeAutospacing="0" w:after="0" w:afterAutospacing="0" w:line="360" w:lineRule="auto"/>
        <w:ind w:left="567"/>
        <w:jc w:val="both"/>
        <w:rPr>
          <w:rFonts w:ascii="David" w:hAnsi="David" w:cs="David"/>
        </w:rPr>
      </w:pPr>
    </w:p>
    <w:p w:rsidR="00570148" w:rsidRDefault="00570148" w:rsidP="005D7C89">
      <w:pPr>
        <w:pStyle w:val="ruller4"/>
        <w:numPr>
          <w:ilvl w:val="0"/>
          <w:numId w:val="1"/>
        </w:numPr>
        <w:shd w:val="clear" w:color="auto" w:fill="FFFFFF"/>
        <w:tabs>
          <w:tab w:val="left" w:pos="567"/>
        </w:tabs>
        <w:bidi/>
        <w:spacing w:before="0" w:beforeAutospacing="0" w:after="0" w:afterAutospacing="0" w:line="360" w:lineRule="auto"/>
        <w:ind w:left="567" w:hanging="567"/>
        <w:jc w:val="both"/>
        <w:rPr>
          <w:rFonts w:ascii="David" w:hAnsi="David" w:cs="David"/>
        </w:rPr>
      </w:pPr>
      <w:r>
        <w:rPr>
          <w:rFonts w:ascii="David" w:hAnsi="David" w:cs="David"/>
          <w:rtl/>
        </w:rPr>
        <w:t xml:space="preserve"> </w:t>
      </w:r>
      <w:r>
        <w:rPr>
          <w:rFonts w:ascii="David" w:hAnsi="David" w:cs="David"/>
          <w:rtl/>
        </w:rPr>
        <w:tab/>
      </w:r>
      <w:r>
        <w:rPr>
          <w:rFonts w:ascii="David" w:hAnsi="David" w:cs="David"/>
          <w:b/>
          <w:bCs/>
          <w:rtl/>
        </w:rPr>
        <w:t xml:space="preserve">בית המשפט העליון נתן דעתו, לא אחת, בפסקי דין מחייבים, כי פירוש המונח בן זוג בסעיפים 10 ו-11 לחוק הירושה, צריך להיעשות </w:t>
      </w:r>
      <w:r>
        <w:rPr>
          <w:rFonts w:ascii="David" w:hAnsi="David" w:cs="David"/>
          <w:b/>
          <w:bCs/>
          <w:u w:val="single"/>
          <w:rtl/>
        </w:rPr>
        <w:t>באופן פורמלי</w:t>
      </w:r>
      <w:r>
        <w:rPr>
          <w:rFonts w:ascii="David" w:hAnsi="David" w:cs="David"/>
          <w:b/>
          <w:bCs/>
          <w:rtl/>
        </w:rPr>
        <w:t>, כקשר של נישואין. פסק הדין המרכזי הנוקט בגישה זו הוא בע"מ 9607/03 פלוני נ' פלוני, סא(3) 726 (2006) (להלן: "פרשת פלוני").</w:t>
      </w:r>
      <w:r>
        <w:rPr>
          <w:rFonts w:ascii="David" w:hAnsi="David" w:cs="David"/>
          <w:rtl/>
        </w:rPr>
        <w:t xml:space="preserve"> ר' דברי הנשיא (בדימוס) ברק בסעיפים 14-15 לפסק הדין:</w:t>
      </w:r>
    </w:p>
    <w:p w:rsidR="00D54E89" w:rsidRDefault="00D54E89" w:rsidP="005D7C89">
      <w:pPr>
        <w:pStyle w:val="ruller4"/>
        <w:shd w:val="clear" w:color="auto" w:fill="FFFFFF"/>
        <w:tabs>
          <w:tab w:val="left" w:pos="567"/>
        </w:tabs>
        <w:bidi/>
        <w:spacing w:before="0" w:beforeAutospacing="0" w:after="0" w:afterAutospacing="0" w:line="360" w:lineRule="auto"/>
        <w:ind w:left="567"/>
        <w:jc w:val="both"/>
        <w:rPr>
          <w:rFonts w:ascii="David" w:hAnsi="David" w:cs="David"/>
        </w:rPr>
      </w:pPr>
    </w:p>
    <w:p w:rsidR="00570148" w:rsidRDefault="00570148" w:rsidP="005D7C89">
      <w:pPr>
        <w:pStyle w:val="ruller4"/>
        <w:shd w:val="clear" w:color="auto" w:fill="FFFFFF"/>
        <w:tabs>
          <w:tab w:val="left" w:pos="1076"/>
        </w:tabs>
        <w:bidi/>
        <w:spacing w:before="0" w:beforeAutospacing="0" w:after="0" w:afterAutospacing="0" w:line="360" w:lineRule="auto"/>
        <w:ind w:left="1076" w:right="426"/>
        <w:jc w:val="both"/>
        <w:rPr>
          <w:rFonts w:ascii="David" w:hAnsi="David" w:cs="David"/>
          <w:rtl/>
        </w:rPr>
      </w:pPr>
      <w:r>
        <w:rPr>
          <w:rFonts w:ascii="David" w:hAnsi="David" w:cs="David"/>
          <w:rtl/>
        </w:rPr>
        <w:t xml:space="preserve">"למונח "בן זוג" מובנים שונים בהקשרים שונים. יש והוא פורש במובן של בן זוג נשוי (ראו, ענמ"ש 1/82 </w:t>
      </w:r>
      <w:r>
        <w:rPr>
          <w:rFonts w:ascii="David" w:hAnsi="David" w:cs="David"/>
          <w:b/>
          <w:bCs/>
          <w:rtl/>
        </w:rPr>
        <w:t>לוי נ' מנהל בתי המשפט</w:t>
      </w:r>
      <w:r>
        <w:rPr>
          <w:rFonts w:ascii="David" w:hAnsi="David" w:cs="David"/>
          <w:rtl/>
        </w:rPr>
        <w:t xml:space="preserve">, פ"ד לו(4) 123; ע"א 640/82 </w:t>
      </w:r>
      <w:r>
        <w:rPr>
          <w:rFonts w:ascii="David" w:hAnsi="David" w:cs="David"/>
          <w:b/>
          <w:bCs/>
          <w:rtl/>
        </w:rPr>
        <w:t>כהן נ' היועץ המשפטי לממשלה</w:t>
      </w:r>
      <w:r>
        <w:rPr>
          <w:rFonts w:ascii="David" w:hAnsi="David" w:cs="David"/>
          <w:rtl/>
        </w:rPr>
        <w:t xml:space="preserve">, פ"ד לט(1) 673; השוו ע"א 1165/01 </w:t>
      </w:r>
      <w:r>
        <w:rPr>
          <w:rFonts w:ascii="David" w:hAnsi="David" w:cs="David"/>
          <w:b/>
          <w:bCs/>
          <w:rtl/>
        </w:rPr>
        <w:t>פלונית נ' היועץ המשפטי לממשלה</w:t>
      </w:r>
      <w:r>
        <w:rPr>
          <w:rFonts w:ascii="David" w:hAnsi="David" w:cs="David"/>
          <w:rtl/>
        </w:rPr>
        <w:t xml:space="preserve">, פ"ד נז(1) 69). לעיתים נזקק בית המשפט לדיבור "בן זוג" גם בהקשר של בן זוג שאינו נשוי (ראו, פרשת לינדורן; </w:t>
      </w:r>
      <w:r>
        <w:rPr>
          <w:rFonts w:ascii="David" w:hAnsi="David" w:cs="David"/>
          <w:b/>
          <w:bCs/>
          <w:rtl/>
        </w:rPr>
        <w:t>השוו, רע"א 6854/00 היועץ המשפטי לממשלה נ' זמר ואח'</w:t>
      </w:r>
      <w:r>
        <w:rPr>
          <w:rFonts w:ascii="David" w:hAnsi="David" w:cs="David"/>
          <w:rtl/>
        </w:rPr>
        <w:t>, פ"ד נז(5) 491)</w:t>
      </w:r>
      <w:r>
        <w:rPr>
          <w:rFonts w:ascii="David" w:hAnsi="David" w:cs="David"/>
        </w:rPr>
        <w:t xml:space="preserve">. </w:t>
      </w:r>
    </w:p>
    <w:p w:rsidR="00EB48D9" w:rsidRDefault="00EB48D9" w:rsidP="005D7C89">
      <w:pPr>
        <w:pStyle w:val="ruller4"/>
        <w:shd w:val="clear" w:color="auto" w:fill="FFFFFF"/>
        <w:tabs>
          <w:tab w:val="left" w:pos="1076"/>
        </w:tabs>
        <w:bidi/>
        <w:spacing w:before="0" w:beforeAutospacing="0" w:after="0" w:afterAutospacing="0" w:line="360" w:lineRule="auto"/>
        <w:ind w:left="1076" w:right="426"/>
        <w:jc w:val="both"/>
        <w:rPr>
          <w:rFonts w:ascii="David" w:hAnsi="David" w:cs="David"/>
          <w:rtl/>
        </w:rPr>
      </w:pPr>
    </w:p>
    <w:p w:rsidR="00570148" w:rsidRDefault="00570148" w:rsidP="00EB48D9">
      <w:pPr>
        <w:pStyle w:val="ruller4"/>
        <w:shd w:val="clear" w:color="auto" w:fill="FFFFFF"/>
        <w:tabs>
          <w:tab w:val="left" w:pos="1076"/>
        </w:tabs>
        <w:bidi/>
        <w:spacing w:before="0" w:beforeAutospacing="0" w:after="0" w:afterAutospacing="0" w:line="360" w:lineRule="auto"/>
        <w:ind w:left="1076" w:right="426"/>
        <w:jc w:val="both"/>
        <w:rPr>
          <w:rFonts w:ascii="David" w:hAnsi="David" w:cs="David"/>
          <w:rtl/>
        </w:rPr>
      </w:pPr>
      <w:r>
        <w:rPr>
          <w:rFonts w:ascii="David" w:hAnsi="David" w:cs="David"/>
          <w:rtl/>
        </w:rPr>
        <w:t>ההסדר הנפרד לירושת ידוע בציבור מצביע על כך שהמונח "בן זוג" אינו כולל את הידועים בציבור (ראו, רוזן צבי ומעוז "</w:t>
      </w:r>
      <w:r>
        <w:rPr>
          <w:rFonts w:ascii="David" w:hAnsi="David" w:cs="David"/>
          <w:b/>
          <w:bCs/>
          <w:rtl/>
        </w:rPr>
        <w:t>הירושה על פי דין לאור התיקון לחוק הירושה</w:t>
      </w:r>
      <w:r>
        <w:rPr>
          <w:rFonts w:ascii="David" w:hAnsi="David" w:cs="David"/>
          <w:rtl/>
        </w:rPr>
        <w:t xml:space="preserve">", עיוני משפט יא (תשמ"ו) 457, 486; להלן – רוזן צבי ומעוז). </w:t>
      </w:r>
      <w:r>
        <w:rPr>
          <w:rFonts w:ascii="David" w:hAnsi="David" w:cs="David"/>
          <w:b/>
          <w:bCs/>
          <w:rtl/>
        </w:rPr>
        <w:t>הדיבור "בן זוג" בהקשרו של סעיף 11 לחוק הירושה משמעו, איפוא, בן זוג שנישא בקשר נישואין פורמלי</w:t>
      </w:r>
      <w:r>
        <w:rPr>
          <w:rFonts w:ascii="David" w:hAnsi="David" w:cs="David"/>
          <w:rtl/>
        </w:rPr>
        <w:t>..." (ההדגשה נוספה – ש.כ).</w:t>
      </w:r>
    </w:p>
    <w:p w:rsidR="00D54E89" w:rsidRDefault="00D54E89" w:rsidP="005D7C89">
      <w:pPr>
        <w:pStyle w:val="ruller4"/>
        <w:shd w:val="clear" w:color="auto" w:fill="FFFFFF"/>
        <w:tabs>
          <w:tab w:val="left" w:pos="567"/>
        </w:tabs>
        <w:bidi/>
        <w:spacing w:before="0" w:beforeAutospacing="0" w:after="0" w:afterAutospacing="0" w:line="360" w:lineRule="auto"/>
        <w:ind w:left="567"/>
        <w:jc w:val="both"/>
        <w:rPr>
          <w:rFonts w:ascii="David" w:hAnsi="David" w:cs="David"/>
        </w:rPr>
      </w:pPr>
    </w:p>
    <w:p w:rsidR="00570148" w:rsidRDefault="00D54E89" w:rsidP="005D7C89">
      <w:pPr>
        <w:pStyle w:val="ruller4"/>
        <w:numPr>
          <w:ilvl w:val="0"/>
          <w:numId w:val="1"/>
        </w:numPr>
        <w:shd w:val="clear" w:color="auto" w:fill="FFFFFF"/>
        <w:tabs>
          <w:tab w:val="left" w:pos="567"/>
        </w:tabs>
        <w:bidi/>
        <w:spacing w:before="0" w:beforeAutospacing="0" w:after="0" w:afterAutospacing="0" w:line="360" w:lineRule="auto"/>
        <w:ind w:left="567" w:hanging="567"/>
        <w:jc w:val="both"/>
        <w:rPr>
          <w:rFonts w:ascii="David" w:hAnsi="David" w:cs="David"/>
          <w:rtl/>
        </w:rPr>
      </w:pPr>
      <w:r>
        <w:rPr>
          <w:rFonts w:ascii="David" w:hAnsi="David" w:cs="David" w:hint="cs"/>
          <w:rtl/>
        </w:rPr>
        <w:t xml:space="preserve"> </w:t>
      </w:r>
      <w:r>
        <w:rPr>
          <w:rFonts w:ascii="David" w:hAnsi="David" w:cs="David" w:hint="cs"/>
          <w:rtl/>
        </w:rPr>
        <w:tab/>
      </w:r>
      <w:r w:rsidR="00570148">
        <w:rPr>
          <w:rFonts w:ascii="David" w:hAnsi="David" w:cs="David"/>
          <w:rtl/>
        </w:rPr>
        <w:t xml:space="preserve">אמנם </w:t>
      </w:r>
      <w:r w:rsidR="00570148">
        <w:rPr>
          <w:rFonts w:ascii="David" w:hAnsi="David" w:cs="David"/>
          <w:b/>
          <w:bCs/>
          <w:rtl/>
        </w:rPr>
        <w:t>בפרשת</w:t>
      </w:r>
      <w:r w:rsidR="00570148">
        <w:rPr>
          <w:rFonts w:ascii="David" w:hAnsi="David" w:cs="David"/>
          <w:rtl/>
        </w:rPr>
        <w:t xml:space="preserve"> </w:t>
      </w:r>
      <w:r w:rsidR="00570148">
        <w:rPr>
          <w:rFonts w:ascii="David" w:hAnsi="David" w:cs="David"/>
          <w:b/>
          <w:bCs/>
          <w:rtl/>
        </w:rPr>
        <w:t>פלוני</w:t>
      </w:r>
      <w:r w:rsidR="00570148">
        <w:rPr>
          <w:rFonts w:ascii="David" w:hAnsi="David" w:cs="David"/>
          <w:rtl/>
        </w:rPr>
        <w:t xml:space="preserve"> נדונה השאלה האם בן זוג שנישא בנישואי תערובת שנערכו בחו"ל, נחשב "בן זוג" לעניין סעיפים 10-11 לחוק הירושה, אך לקביעות העקרוניות שנקבעו במסגרתו באשר לפרשנות המונח "בן זוג" והדיון המקיף ברציונליים ותכליות החקיקה, השלכה ישירה לענייננו. </w:t>
      </w:r>
    </w:p>
    <w:p w:rsidR="00570148" w:rsidRDefault="00570148" w:rsidP="005D7C89">
      <w:pPr>
        <w:pStyle w:val="ruller4"/>
        <w:shd w:val="clear" w:color="auto" w:fill="FFFFFF"/>
        <w:tabs>
          <w:tab w:val="left" w:pos="567"/>
        </w:tabs>
        <w:bidi/>
        <w:spacing w:before="0" w:beforeAutospacing="0" w:after="0" w:afterAutospacing="0" w:line="360" w:lineRule="auto"/>
        <w:ind w:left="567"/>
        <w:jc w:val="both"/>
        <w:rPr>
          <w:rFonts w:ascii="David" w:hAnsi="David" w:cs="David"/>
          <w:rtl/>
        </w:rPr>
      </w:pPr>
      <w:r>
        <w:rPr>
          <w:rFonts w:ascii="David" w:hAnsi="David" w:cs="David"/>
          <w:rtl/>
        </w:rPr>
        <w:t xml:space="preserve">בעניין זה נקבע, כי סעיף 11 לחוק הירושה נועד להגשים ארבע מטרות עיקריות: </w:t>
      </w:r>
      <w:r>
        <w:rPr>
          <w:rFonts w:ascii="David" w:hAnsi="David" w:cs="David"/>
          <w:b/>
          <w:bCs/>
          <w:u w:val="single"/>
          <w:rtl/>
        </w:rPr>
        <w:t>ראשית</w:t>
      </w:r>
      <w:r>
        <w:rPr>
          <w:rFonts w:ascii="David" w:hAnsi="David" w:cs="David"/>
          <w:rtl/>
        </w:rPr>
        <w:t xml:space="preserve">, להעניק לבן הזוג עימו מיסד המוריש את הקשר באופן פורמלי זכות לרשת את המוריש. </w:t>
      </w:r>
      <w:r>
        <w:rPr>
          <w:rFonts w:ascii="David" w:hAnsi="David" w:cs="David"/>
          <w:b/>
          <w:bCs/>
          <w:u w:val="single"/>
          <w:rtl/>
        </w:rPr>
        <w:t>שנית</w:t>
      </w:r>
      <w:r>
        <w:rPr>
          <w:rFonts w:ascii="David" w:hAnsi="David" w:cs="David"/>
          <w:rtl/>
        </w:rPr>
        <w:t xml:space="preserve">, לשקף את רצונו המשוער של המוריש באשר לחלוקת רכושו. </w:t>
      </w:r>
      <w:r>
        <w:rPr>
          <w:rFonts w:ascii="David" w:hAnsi="David" w:cs="David"/>
          <w:b/>
          <w:bCs/>
          <w:u w:val="single"/>
          <w:rtl/>
        </w:rPr>
        <w:t>שלישית</w:t>
      </w:r>
      <w:r>
        <w:rPr>
          <w:rFonts w:ascii="David" w:hAnsi="David" w:cs="David"/>
          <w:rtl/>
        </w:rPr>
        <w:t xml:space="preserve">, </w:t>
      </w:r>
      <w:r>
        <w:rPr>
          <w:rFonts w:ascii="David" w:hAnsi="David" w:cs="David"/>
          <w:b/>
          <w:bCs/>
          <w:rtl/>
        </w:rPr>
        <w:t>להגן על התא המשפחתי המצומצם - בן הזוג הנותר בחיים, ילדיהם וצאצאיהם – ולחזקו. החוק מניח, שזכות ירושה חוקית מגיעה לחוג הפנימי של משפחת המוריש, ומקפיד גם על חלוקה של נכסי העיזבון בתוך משפחת המוריש</w:t>
      </w:r>
      <w:r>
        <w:rPr>
          <w:rFonts w:ascii="David" w:hAnsi="David" w:cs="David"/>
          <w:rtl/>
        </w:rPr>
        <w:t xml:space="preserve">. </w:t>
      </w:r>
      <w:r>
        <w:rPr>
          <w:rFonts w:ascii="David" w:hAnsi="David" w:cs="David"/>
          <w:b/>
          <w:bCs/>
          <w:u w:val="single"/>
          <w:rtl/>
        </w:rPr>
        <w:t>רביעית</w:t>
      </w:r>
      <w:r>
        <w:rPr>
          <w:rFonts w:ascii="David" w:hAnsi="David" w:cs="David"/>
          <w:rtl/>
        </w:rPr>
        <w:t xml:space="preserve">, להשוות – בהקשר לזכות הירושה על פי דין – את היקף הזכויות של "בני זוג" הנשואים זה לזו כדין (סעיף 11 לחוק) להיקף הזכויות של "ידועים בציבור" (סעיף 55 לחוק). </w:t>
      </w:r>
    </w:p>
    <w:p w:rsidR="00D54E89" w:rsidRDefault="00D54E89" w:rsidP="005D7C89">
      <w:pPr>
        <w:pStyle w:val="ruller4"/>
        <w:shd w:val="clear" w:color="auto" w:fill="FFFFFF"/>
        <w:tabs>
          <w:tab w:val="left" w:pos="567"/>
        </w:tabs>
        <w:bidi/>
        <w:spacing w:before="0" w:beforeAutospacing="0" w:after="0" w:afterAutospacing="0" w:line="360" w:lineRule="auto"/>
        <w:jc w:val="both"/>
        <w:rPr>
          <w:rFonts w:ascii="David" w:hAnsi="David" w:cs="David"/>
        </w:rPr>
      </w:pPr>
    </w:p>
    <w:p w:rsidR="00570148" w:rsidRDefault="00570148" w:rsidP="005D7C89">
      <w:pPr>
        <w:pStyle w:val="ruller4"/>
        <w:numPr>
          <w:ilvl w:val="0"/>
          <w:numId w:val="1"/>
        </w:numPr>
        <w:shd w:val="clear" w:color="auto" w:fill="FFFFFF"/>
        <w:tabs>
          <w:tab w:val="left" w:pos="567"/>
        </w:tabs>
        <w:bidi/>
        <w:spacing w:before="0" w:beforeAutospacing="0" w:after="0" w:afterAutospacing="0" w:line="360" w:lineRule="auto"/>
        <w:ind w:left="567" w:hanging="567"/>
        <w:jc w:val="both"/>
        <w:rPr>
          <w:rFonts w:ascii="David" w:hAnsi="David" w:cs="David"/>
        </w:rPr>
      </w:pPr>
      <w:r>
        <w:rPr>
          <w:rFonts w:ascii="David" w:hAnsi="David" w:cs="David"/>
          <w:rtl/>
        </w:rPr>
        <w:tab/>
        <w:t xml:space="preserve">הגישה הפורמלית זכתה לחיזוק מצד שופטים ומלומדים רבים. כך, למשל כותבים הש' שוחט, הש' (בדימוס) פינברג ופלומין בספרם </w:t>
      </w:r>
      <w:r>
        <w:rPr>
          <w:rFonts w:ascii="David" w:hAnsi="David" w:cs="David"/>
          <w:b/>
          <w:bCs/>
          <w:rtl/>
        </w:rPr>
        <w:t>דיני ירושה ועיזבון</w:t>
      </w:r>
      <w:r>
        <w:rPr>
          <w:rFonts w:ascii="David" w:hAnsi="David" w:cs="David"/>
          <w:rtl/>
        </w:rPr>
        <w:t xml:space="preserve"> (מהדורה שביעית 2014): </w:t>
      </w:r>
    </w:p>
    <w:p w:rsidR="00EB48D9" w:rsidRDefault="00EB48D9" w:rsidP="00EB48D9">
      <w:pPr>
        <w:pStyle w:val="ruller4"/>
        <w:shd w:val="clear" w:color="auto" w:fill="FFFFFF"/>
        <w:tabs>
          <w:tab w:val="left" w:pos="567"/>
        </w:tabs>
        <w:bidi/>
        <w:spacing w:before="0" w:beforeAutospacing="0" w:after="0" w:afterAutospacing="0" w:line="360" w:lineRule="auto"/>
        <w:ind w:left="567"/>
        <w:jc w:val="both"/>
        <w:rPr>
          <w:rFonts w:ascii="David" w:hAnsi="David" w:cs="David"/>
        </w:rPr>
      </w:pPr>
    </w:p>
    <w:p w:rsidR="00570148" w:rsidRDefault="00570148" w:rsidP="005D7C89">
      <w:pPr>
        <w:tabs>
          <w:tab w:val="left" w:pos="567"/>
        </w:tabs>
        <w:spacing w:line="360" w:lineRule="auto"/>
        <w:ind w:left="1076" w:right="567"/>
        <w:jc w:val="both"/>
        <w:rPr>
          <w:rFonts w:ascii="David" w:hAnsi="David"/>
          <w:rtl/>
        </w:rPr>
      </w:pPr>
      <w:r>
        <w:rPr>
          <w:rFonts w:ascii="David" w:hAnsi="David"/>
          <w:rtl/>
        </w:rPr>
        <w:t xml:space="preserve"> </w:t>
      </w:r>
      <w:r>
        <w:rPr>
          <w:rFonts w:ascii="David" w:hAnsi="David" w:hint="cs"/>
          <w:rtl/>
        </w:rPr>
        <w:t xml:space="preserve">"למונח בן זוג יש מובנים שונים בהקשרים שונים. אין לו משמעות אחידה בכל דברי החקיקה.... </w:t>
      </w:r>
      <w:r>
        <w:rPr>
          <w:rFonts w:ascii="David" w:hAnsi="David" w:hint="cs"/>
          <w:b/>
          <w:bCs/>
          <w:rtl/>
        </w:rPr>
        <w:t>הדיבור "בן זוג" בהקשרו של סעיף 11 לחוק משמעו בן זוג שבא בקשר נישואין פורמלי</w:t>
      </w:r>
      <w:r>
        <w:rPr>
          <w:rFonts w:ascii="David" w:hAnsi="David" w:hint="cs"/>
          <w:rtl/>
        </w:rPr>
        <w:t xml:space="preserve">. ...התנאי של נישואין פורמליים מתקיים כמובן אם בני הזוג הם יהודים שנישאו בישראל או מחוצה לה כדת משה וישראל. ... כלומר השאלה אם פלונית היא בת זוגו של אלמוני תוכרע על פי הצורך באקט של גירושין כדי לשים קץ לקשריה עמו. </w:t>
      </w:r>
      <w:r>
        <w:rPr>
          <w:rFonts w:ascii="David" w:hAnsi="David" w:hint="cs"/>
          <w:b/>
          <w:bCs/>
          <w:rtl/>
        </w:rPr>
        <w:t xml:space="preserve">לעניין הירושה אין חשיבות לשאלה מה הייתה מערכת היחסים בין בני הזוג, ואף לא לעובדה שהם חיו בנפרד בעת מותו של המוריש. </w:t>
      </w:r>
      <w:r>
        <w:rPr>
          <w:rFonts w:ascii="David" w:hAnsi="David" w:hint="cs"/>
          <w:rtl/>
        </w:rPr>
        <w:t xml:space="preserve">בע"א 247/97 סבג נ' סבג, פ"ד נג(4) 49, אכן הוכרה האפשרות לשלול מאישה "סרבנית גט" שבעלה קיבל מבית הדין היתר נישואין את מעמדה כבת זוג לפי חוק הירושה. </w:t>
      </w:r>
      <w:r>
        <w:rPr>
          <w:rFonts w:ascii="David" w:hAnsi="David" w:hint="cs"/>
          <w:b/>
          <w:bCs/>
          <w:rtl/>
        </w:rPr>
        <w:t>עם זאת יש לצמצם את השימוש באפשרות זו לנסיבותיו המיוחדות של המקרה"</w:t>
      </w:r>
      <w:r>
        <w:rPr>
          <w:rFonts w:ascii="David" w:hAnsi="David" w:hint="cs"/>
          <w:rtl/>
        </w:rPr>
        <w:t xml:space="preserve"> (ההדגשה נוספה – ש.כ).</w:t>
      </w:r>
    </w:p>
    <w:p w:rsidR="005D7C89" w:rsidRDefault="005D7C89" w:rsidP="005D7C89">
      <w:pPr>
        <w:tabs>
          <w:tab w:val="left" w:pos="567"/>
        </w:tabs>
        <w:spacing w:line="360" w:lineRule="auto"/>
        <w:ind w:left="1076" w:right="567"/>
        <w:jc w:val="both"/>
        <w:rPr>
          <w:rFonts w:ascii="David" w:hAnsi="David"/>
        </w:rPr>
      </w:pPr>
    </w:p>
    <w:p w:rsidR="00570148" w:rsidRDefault="00570148" w:rsidP="005D7C89">
      <w:pPr>
        <w:pStyle w:val="ruller4"/>
        <w:numPr>
          <w:ilvl w:val="0"/>
          <w:numId w:val="1"/>
        </w:numPr>
        <w:shd w:val="clear" w:color="auto" w:fill="FFFFFF"/>
        <w:tabs>
          <w:tab w:val="left" w:pos="567"/>
        </w:tabs>
        <w:bidi/>
        <w:spacing w:before="0" w:beforeAutospacing="0" w:after="0" w:afterAutospacing="0" w:line="360" w:lineRule="auto"/>
        <w:ind w:left="567" w:hanging="567"/>
        <w:jc w:val="both"/>
        <w:rPr>
          <w:rFonts w:ascii="David" w:hAnsi="David" w:cs="David"/>
          <w:rtl/>
        </w:rPr>
      </w:pPr>
      <w:r>
        <w:rPr>
          <w:rFonts w:ascii="David" w:hAnsi="David" w:cs="David"/>
          <w:rtl/>
        </w:rPr>
        <w:tab/>
        <w:t xml:space="preserve">אשר לגישה המהותית – זו יושמה בעיקר על ידי הערכאות הדיוניות בבתי המשפט לענייני משפחה ומרבית פסקי הדין שנקטו בגישה זו, בוטלו על ידי ערכאת הערעור (ר' דברי כב' השופט מזוז בבע"מ 4532/20 </w:t>
      </w:r>
      <w:r>
        <w:rPr>
          <w:rFonts w:ascii="David" w:hAnsi="David" w:cs="David"/>
          <w:b/>
          <w:bCs/>
          <w:rtl/>
        </w:rPr>
        <w:t>פלוני נ' פלוני</w:t>
      </w:r>
      <w:r>
        <w:rPr>
          <w:rFonts w:ascii="David" w:hAnsi="David" w:cs="David"/>
          <w:rtl/>
        </w:rPr>
        <w:t xml:space="preserve"> (נבו, 19.07.2020)‏‏. סקירת הפסיקה שנקטה בגישה המהותית מלמדת כי גישה זו אומצה במשורה, בנסיבות חריגות ובמקרים קיצוניים בלבד.</w:t>
      </w:r>
    </w:p>
    <w:p w:rsidR="005D7C89" w:rsidRDefault="005D7C89" w:rsidP="005D7C89">
      <w:pPr>
        <w:pStyle w:val="ruller4"/>
        <w:shd w:val="clear" w:color="auto" w:fill="FFFFFF"/>
        <w:tabs>
          <w:tab w:val="left" w:pos="567"/>
        </w:tabs>
        <w:bidi/>
        <w:spacing w:before="0" w:beforeAutospacing="0" w:after="0" w:afterAutospacing="0" w:line="360" w:lineRule="auto"/>
        <w:ind w:left="567"/>
        <w:jc w:val="both"/>
        <w:rPr>
          <w:rFonts w:ascii="David" w:hAnsi="David" w:cs="David"/>
          <w:rtl/>
        </w:rPr>
      </w:pPr>
    </w:p>
    <w:p w:rsidR="00570148" w:rsidRDefault="00570148" w:rsidP="005D7C89">
      <w:pPr>
        <w:pStyle w:val="ruller4"/>
        <w:shd w:val="clear" w:color="auto" w:fill="FFFFFF"/>
        <w:tabs>
          <w:tab w:val="left" w:pos="567"/>
        </w:tabs>
        <w:bidi/>
        <w:spacing w:before="0" w:beforeAutospacing="0" w:after="0" w:afterAutospacing="0" w:line="360" w:lineRule="auto"/>
        <w:ind w:left="567"/>
        <w:jc w:val="both"/>
        <w:rPr>
          <w:rFonts w:ascii="David" w:hAnsi="David" w:cs="David"/>
        </w:rPr>
      </w:pPr>
      <w:r>
        <w:rPr>
          <w:rFonts w:ascii="David" w:hAnsi="David" w:cs="David"/>
          <w:rtl/>
        </w:rPr>
        <w:t xml:space="preserve">כך למשל, במקרה בו "בת הזוג" שהיתה נשואה למנוח היתה "סרבנית גט" ובעלה (המוריש) קיבל מבית הדין היתר נישואין (ר' ע"א </w:t>
      </w:r>
      <w:r>
        <w:rPr>
          <w:rFonts w:ascii="David" w:hAnsi="David" w:cs="David"/>
        </w:rPr>
        <w:t>247/97</w:t>
      </w:r>
      <w:r>
        <w:rPr>
          <w:rFonts w:ascii="David" w:hAnsi="David" w:cs="David"/>
          <w:rtl/>
        </w:rPr>
        <w:t xml:space="preserve"> </w:t>
      </w:r>
      <w:r>
        <w:rPr>
          <w:rFonts w:ascii="David" w:hAnsi="David" w:cs="David" w:hint="cs"/>
          <w:b/>
          <w:bCs/>
          <w:rtl/>
        </w:rPr>
        <w:t>סבג נ' סבג</w:t>
      </w:r>
      <w:r>
        <w:rPr>
          <w:rFonts w:ascii="David" w:hAnsi="David" w:cs="David" w:hint="cs"/>
          <w:rtl/>
        </w:rPr>
        <w:t>, פ"ד נג(4) 49 (להלן: "</w:t>
      </w:r>
      <w:r>
        <w:rPr>
          <w:rFonts w:ascii="David" w:hAnsi="David" w:cs="David" w:hint="cs"/>
          <w:b/>
          <w:bCs/>
          <w:rtl/>
        </w:rPr>
        <w:t>פרשת סבג</w:t>
      </w:r>
      <w:r>
        <w:rPr>
          <w:rFonts w:ascii="David" w:hAnsi="David" w:cs="David" w:hint="cs"/>
          <w:rtl/>
        </w:rPr>
        <w:t>").</w:t>
      </w:r>
    </w:p>
    <w:p w:rsidR="00570148" w:rsidRDefault="00570148" w:rsidP="005D7C89">
      <w:pPr>
        <w:pStyle w:val="ruller4"/>
        <w:shd w:val="clear" w:color="auto" w:fill="FFFFFF"/>
        <w:tabs>
          <w:tab w:val="left" w:pos="567"/>
        </w:tabs>
        <w:bidi/>
        <w:spacing w:before="0" w:beforeAutospacing="0" w:after="0" w:afterAutospacing="0" w:line="360" w:lineRule="auto"/>
        <w:ind w:left="567" w:hanging="567"/>
        <w:jc w:val="both"/>
        <w:rPr>
          <w:rFonts w:ascii="David" w:hAnsi="David" w:cs="David"/>
          <w:rtl/>
        </w:rPr>
      </w:pPr>
      <w:r>
        <w:rPr>
          <w:rFonts w:ascii="David" w:hAnsi="David" w:cs="David"/>
          <w:rtl/>
        </w:rPr>
        <w:tab/>
        <w:t xml:space="preserve">בעניין אחר, בנסיבות בהן המנוחה ובעלה נפרדו זמן רב קודם לפטירת המנוחה והיו פרודים בעת פטירתה, לרבות בשל אלימות מצד הבעל כלפי המנוחה; כאשר הבעל נטש את המנוחה וקיים חיי זוגיות עם אחרת, ממנה אף נולדו לו שני ילדים, עוד בחיי המנוחה וכאשר בני הזוג שם החליטו לסיים את קשר הנישואין ביניהם, ערכו הסכם גירושין, אשר עליו לא חתם הבעל, ופניהם היו לגירושין, יישם בית המשפט, כב' השופט נמרוד פלקס, את הגישה המהותית והתבסס על פרשת סבג, לפיה אין לראות בצד המסכל את הגירושין כנשוי לצורך דיני הירושה בכדי "שהחוטא לא יצא נשכר" (ר' תמ"ש (משפחה ירושלים) 57918-06-15 </w:t>
      </w:r>
      <w:r>
        <w:rPr>
          <w:rFonts w:ascii="David" w:hAnsi="David" w:cs="David"/>
          <w:b/>
          <w:bCs/>
          <w:rtl/>
        </w:rPr>
        <w:t>ע.ח.פ.‏ נ' ר.פ</w:t>
      </w:r>
      <w:r>
        <w:rPr>
          <w:rFonts w:ascii="David" w:hAnsi="David" w:cs="David"/>
          <w:rtl/>
        </w:rPr>
        <w:t xml:space="preserve"> (נבו 18.2.2016)).</w:t>
      </w:r>
    </w:p>
    <w:p w:rsidR="005D7C89" w:rsidRDefault="005D7C89" w:rsidP="005D7C89">
      <w:pPr>
        <w:pStyle w:val="ruller4"/>
        <w:shd w:val="clear" w:color="auto" w:fill="FFFFFF"/>
        <w:tabs>
          <w:tab w:val="left" w:pos="567"/>
        </w:tabs>
        <w:bidi/>
        <w:spacing w:before="0" w:beforeAutospacing="0" w:after="0" w:afterAutospacing="0" w:line="360" w:lineRule="auto"/>
        <w:ind w:left="567" w:hanging="567"/>
        <w:jc w:val="both"/>
        <w:rPr>
          <w:rFonts w:ascii="David" w:hAnsi="David" w:cs="David"/>
        </w:rPr>
      </w:pPr>
    </w:p>
    <w:p w:rsidR="00570148" w:rsidRDefault="00570148" w:rsidP="005D7C89">
      <w:pPr>
        <w:pStyle w:val="ruller4"/>
        <w:shd w:val="clear" w:color="auto" w:fill="FFFFFF"/>
        <w:tabs>
          <w:tab w:val="left" w:pos="567"/>
        </w:tabs>
        <w:bidi/>
        <w:spacing w:before="0" w:beforeAutospacing="0" w:after="0" w:afterAutospacing="0" w:line="360" w:lineRule="auto"/>
        <w:ind w:left="567" w:hanging="567"/>
        <w:jc w:val="both"/>
        <w:rPr>
          <w:rFonts w:ascii="David" w:hAnsi="David" w:cs="David"/>
          <w:rtl/>
        </w:rPr>
      </w:pPr>
      <w:r>
        <w:rPr>
          <w:rFonts w:ascii="David" w:hAnsi="David" w:cs="David"/>
          <w:rtl/>
        </w:rPr>
        <w:tab/>
        <w:t xml:space="preserve">בתמ"ש (משפחה תל אביב-יפו) 3688-09-18 </w:t>
      </w:r>
      <w:r>
        <w:rPr>
          <w:rFonts w:ascii="David" w:hAnsi="David" w:cs="David"/>
          <w:b/>
          <w:bCs/>
          <w:rtl/>
        </w:rPr>
        <w:t>א.ק נ' ע.ק</w:t>
      </w:r>
      <w:r>
        <w:rPr>
          <w:rFonts w:ascii="David" w:hAnsi="David" w:cs="David"/>
          <w:rtl/>
        </w:rPr>
        <w:t xml:space="preserve"> (נבו 6.4.2020), שניתן על ידי כב' השופט יחזקאל אליהו, נדון מקרה בו </w:t>
      </w:r>
      <w:r>
        <w:rPr>
          <w:rFonts w:ascii="David" w:hAnsi="David" w:cs="David"/>
          <w:b/>
          <w:bCs/>
          <w:rtl/>
        </w:rPr>
        <w:t>המנוח שקע בתרדמת למשך 12 שנים טרם פטירתו</w:t>
      </w:r>
      <w:r>
        <w:rPr>
          <w:rFonts w:ascii="David" w:hAnsi="David" w:cs="David"/>
          <w:rtl/>
        </w:rPr>
        <w:t xml:space="preserve">. הצדדים להליך היו הורי המנוח ואשתו הרשומה. נקבע, כי </w:t>
      </w:r>
      <w:r>
        <w:rPr>
          <w:rFonts w:ascii="David" w:hAnsi="David" w:cs="David"/>
          <w:b/>
          <w:bCs/>
          <w:rtl/>
        </w:rPr>
        <w:t>בזמן שהמנוח היה מצוי בתרדמת, אשתו זנחה את קשר הנישואין ביניהם והקימה תא משפחתי חדש עם אדם אחר</w:t>
      </w:r>
      <w:r>
        <w:rPr>
          <w:rFonts w:ascii="David" w:hAnsi="David" w:cs="David"/>
          <w:rtl/>
        </w:rPr>
        <w:t>, עמו גם הביאה לעולם ילד משותף וזאת כעשור שלם עד לפטירת המנוח. לפיכך, הלה הפקיעה את הזכות הנלווית לקשר הנישואין – הזכות לרשת את המנוח.</w:t>
      </w:r>
    </w:p>
    <w:p w:rsidR="00EB48D9" w:rsidRDefault="00EB48D9" w:rsidP="00EB48D9">
      <w:pPr>
        <w:pStyle w:val="ruller4"/>
        <w:shd w:val="clear" w:color="auto" w:fill="FFFFFF"/>
        <w:tabs>
          <w:tab w:val="left" w:pos="567"/>
        </w:tabs>
        <w:bidi/>
        <w:spacing w:before="0" w:beforeAutospacing="0" w:after="0" w:afterAutospacing="0" w:line="360" w:lineRule="auto"/>
        <w:ind w:left="567" w:hanging="567"/>
        <w:jc w:val="both"/>
        <w:rPr>
          <w:rFonts w:ascii="David" w:hAnsi="David" w:cs="David"/>
          <w:rtl/>
        </w:rPr>
      </w:pPr>
    </w:p>
    <w:p w:rsidR="00570148" w:rsidRDefault="00570148" w:rsidP="005D7C89">
      <w:pPr>
        <w:pStyle w:val="ruller4"/>
        <w:shd w:val="clear" w:color="auto" w:fill="FFFFFF"/>
        <w:tabs>
          <w:tab w:val="left" w:pos="567"/>
        </w:tabs>
        <w:bidi/>
        <w:spacing w:before="0" w:beforeAutospacing="0" w:after="0" w:afterAutospacing="0" w:line="360" w:lineRule="auto"/>
        <w:ind w:left="567" w:hanging="567"/>
        <w:jc w:val="both"/>
        <w:rPr>
          <w:rFonts w:ascii="David" w:hAnsi="David" w:cs="David"/>
          <w:rtl/>
        </w:rPr>
      </w:pPr>
      <w:r>
        <w:rPr>
          <w:rFonts w:ascii="David" w:hAnsi="David" w:cs="David"/>
          <w:rtl/>
        </w:rPr>
        <w:tab/>
        <w:t xml:space="preserve">ובמקרה אליו נדרש בית המשפט בת"ע (משפחה ק' שמונה) 52510-05-21 </w:t>
      </w:r>
      <w:r>
        <w:rPr>
          <w:rFonts w:ascii="David" w:hAnsi="David" w:cs="David"/>
          <w:b/>
          <w:bCs/>
          <w:rtl/>
        </w:rPr>
        <w:t xml:space="preserve">פלונית נ' פלונית ואח' </w:t>
      </w:r>
      <w:r>
        <w:rPr>
          <w:rFonts w:ascii="David" w:hAnsi="David" w:cs="David"/>
          <w:rtl/>
        </w:rPr>
        <w:t>(נבו 29.8.2022), עתרה גרושתו של המנוח לקבלת חלקה בעיזבון המנוח, בטענה כי הסכם הגירושין שחתמו השניים היה פיקטיבי, כשמהעבר השני, ידועתו בציבור של המנוח, בה הכיר רשם הירושה כיורשת מחצית מעיזבון המנוח. בנסיבות העניין שם נקבע ע"י כב' השופט רן ארנון, כי התובעת אינה אשתו של המנוח, אם כי גרושתו, ולכן אינה זכאית לרשת את עזבונו.</w:t>
      </w:r>
    </w:p>
    <w:p w:rsidR="00EB48D9" w:rsidRDefault="00570148" w:rsidP="005D7C89">
      <w:pPr>
        <w:pStyle w:val="ruller4"/>
        <w:shd w:val="clear" w:color="auto" w:fill="FFFFFF"/>
        <w:tabs>
          <w:tab w:val="left" w:pos="567"/>
        </w:tabs>
        <w:bidi/>
        <w:spacing w:before="0" w:beforeAutospacing="0" w:after="0" w:afterAutospacing="0" w:line="360" w:lineRule="auto"/>
        <w:ind w:left="567" w:hanging="567"/>
        <w:jc w:val="both"/>
        <w:rPr>
          <w:rFonts w:ascii="David" w:hAnsi="David" w:cs="David"/>
          <w:rtl/>
        </w:rPr>
      </w:pPr>
      <w:r>
        <w:rPr>
          <w:rFonts w:ascii="David" w:hAnsi="David" w:cs="David"/>
          <w:rtl/>
        </w:rPr>
        <w:tab/>
      </w:r>
    </w:p>
    <w:p w:rsidR="00570148" w:rsidRDefault="00EB48D9" w:rsidP="00EB48D9">
      <w:pPr>
        <w:pStyle w:val="ruller4"/>
        <w:shd w:val="clear" w:color="auto" w:fill="FFFFFF"/>
        <w:tabs>
          <w:tab w:val="left" w:pos="567"/>
        </w:tabs>
        <w:bidi/>
        <w:spacing w:before="0" w:beforeAutospacing="0" w:after="0" w:afterAutospacing="0" w:line="360" w:lineRule="auto"/>
        <w:ind w:left="567" w:hanging="567"/>
        <w:jc w:val="both"/>
        <w:rPr>
          <w:rFonts w:ascii="David" w:hAnsi="David" w:cs="David"/>
          <w:rtl/>
        </w:rPr>
      </w:pPr>
      <w:r>
        <w:rPr>
          <w:rFonts w:ascii="David" w:hAnsi="David" w:cs="David"/>
          <w:rtl/>
        </w:rPr>
        <w:tab/>
      </w:r>
      <w:r w:rsidR="00570148">
        <w:rPr>
          <w:rFonts w:ascii="David" w:hAnsi="David" w:cs="David"/>
          <w:rtl/>
        </w:rPr>
        <w:t xml:space="preserve">בפסק הדין בת"ע (משפחה פתח תקוה) 8343-12-20 </w:t>
      </w:r>
      <w:r w:rsidR="00570148">
        <w:rPr>
          <w:rFonts w:ascii="David" w:hAnsi="David" w:cs="David"/>
          <w:b/>
          <w:bCs/>
          <w:rtl/>
        </w:rPr>
        <w:t>פלוני נ' אלמונית</w:t>
      </w:r>
      <w:r w:rsidR="00570148">
        <w:rPr>
          <w:rFonts w:ascii="David" w:hAnsi="David" w:cs="David"/>
          <w:rtl/>
        </w:rPr>
        <w:t xml:space="preserve"> (נבו 7.2.2023) שניתן על ידי כב' השופטת שירלי שי, נדון סכסוך בין אשתו הרשומה בישראל של המנוח (המתנגדת בהליך שם) לבין ילדיו. </w:t>
      </w:r>
      <w:r w:rsidR="00570148">
        <w:rPr>
          <w:rFonts w:ascii="David" w:hAnsi="David" w:cs="David"/>
          <w:b/>
          <w:bCs/>
          <w:rtl/>
        </w:rPr>
        <w:t>בני הזוג התגרשו בהתאם להסכם גירושין שקיבל תוקף של פסק דין בארה"ב ולאחר מכן התגוררו בנפרד</w:t>
      </w:r>
      <w:r w:rsidR="00570148">
        <w:rPr>
          <w:rFonts w:ascii="David" w:hAnsi="David" w:cs="David"/>
          <w:rtl/>
        </w:rPr>
        <w:t>, כאשר המתנגדת אף נעדרה מההלוויה והשבעה של המנוח. ואולם, המנוח והמתנגדת לא התגרשו כדמו"י, ונותרו נשואים פורמלית בישראל. אף שבית המשפט שם הכיר באפשרות לנקוט בגישה המהותית במקרים המתאימים לכך, ממילא בפסק הדין נקבע, כי המתנגדת לא זכאית לרשת את המנוח, הן מהפן הפורמלי בשל פסק הדין לגירושין, והן מהפן המהותי, נוכח אופן התנהלותם של המנוח והמתנגדת ונישואיהם הדתיים שנותרו "על הנייר בלבד".</w:t>
      </w:r>
    </w:p>
    <w:p w:rsidR="005D7C89" w:rsidRDefault="005D7C89" w:rsidP="005D7C89">
      <w:pPr>
        <w:pStyle w:val="ruller4"/>
        <w:shd w:val="clear" w:color="auto" w:fill="FFFFFF"/>
        <w:tabs>
          <w:tab w:val="left" w:pos="567"/>
        </w:tabs>
        <w:bidi/>
        <w:spacing w:before="0" w:beforeAutospacing="0" w:after="0" w:afterAutospacing="0" w:line="360" w:lineRule="auto"/>
        <w:ind w:left="567" w:hanging="567"/>
        <w:jc w:val="both"/>
        <w:rPr>
          <w:rFonts w:ascii="David" w:hAnsi="David" w:cs="David"/>
          <w:rtl/>
        </w:rPr>
      </w:pPr>
    </w:p>
    <w:p w:rsidR="00570148" w:rsidRDefault="00570148" w:rsidP="005D7C89">
      <w:pPr>
        <w:pStyle w:val="ad"/>
        <w:numPr>
          <w:ilvl w:val="0"/>
          <w:numId w:val="1"/>
        </w:numPr>
        <w:tabs>
          <w:tab w:val="left" w:pos="567"/>
        </w:tabs>
        <w:spacing w:after="0" w:line="360" w:lineRule="auto"/>
        <w:ind w:left="567" w:hanging="567"/>
        <w:contextualSpacing w:val="0"/>
        <w:jc w:val="both"/>
        <w:rPr>
          <w:rFonts w:ascii="David" w:eastAsia="Times New Roman" w:hAnsi="David" w:cs="David"/>
          <w:sz w:val="24"/>
          <w:szCs w:val="24"/>
        </w:rPr>
      </w:pPr>
      <w:r>
        <w:rPr>
          <w:rFonts w:ascii="David" w:eastAsia="Times New Roman" w:hAnsi="David" w:cs="David"/>
          <w:sz w:val="24"/>
          <w:szCs w:val="24"/>
          <w:rtl/>
        </w:rPr>
        <w:t xml:space="preserve"> </w:t>
      </w:r>
      <w:r>
        <w:rPr>
          <w:rFonts w:ascii="David" w:eastAsia="Times New Roman" w:hAnsi="David" w:cs="David"/>
          <w:sz w:val="24"/>
          <w:szCs w:val="24"/>
          <w:rtl/>
        </w:rPr>
        <w:tab/>
        <w:t xml:space="preserve">עיננו רואות, כי בתי המשפט אימצו את הגישה המהותית בפרשנות המונח "בן זוג" לצורך סעיפים 10-11 לחוק הירושה, </w:t>
      </w:r>
      <w:r>
        <w:rPr>
          <w:rFonts w:ascii="David" w:eastAsia="Times New Roman" w:hAnsi="David" w:cs="David"/>
          <w:b/>
          <w:bCs/>
          <w:sz w:val="24"/>
          <w:szCs w:val="24"/>
          <w:rtl/>
        </w:rPr>
        <w:t>במקרים קיצוניים</w:t>
      </w:r>
      <w:r>
        <w:rPr>
          <w:rFonts w:ascii="David" w:eastAsia="Times New Roman" w:hAnsi="David" w:cs="David"/>
          <w:sz w:val="24"/>
          <w:szCs w:val="24"/>
          <w:rtl/>
        </w:rPr>
        <w:t xml:space="preserve"> </w:t>
      </w:r>
      <w:r>
        <w:rPr>
          <w:rFonts w:ascii="David" w:eastAsia="Times New Roman" w:hAnsi="David" w:cs="David"/>
          <w:b/>
          <w:bCs/>
          <w:sz w:val="24"/>
          <w:szCs w:val="24"/>
          <w:rtl/>
        </w:rPr>
        <w:t>בהם הנישואין רוקנו מכל תוכן</w:t>
      </w:r>
      <w:r>
        <w:rPr>
          <w:rFonts w:ascii="David" w:eastAsia="Times New Roman" w:hAnsi="David" w:cs="David"/>
          <w:sz w:val="24"/>
          <w:szCs w:val="24"/>
          <w:rtl/>
        </w:rPr>
        <w:t xml:space="preserve"> - כאשר פניהם של בני הזוג היו לגירושין, לרבות על ידי עריכת הסכם גירושין; כאשר בני הזוג היו פרודים מזה תקופה ממושכת קודם לפטירת המנוח/ה; כאשר אחד מבני הזוג זנח את הנישואין לחלוטין בעוד שלשני לא הייתה אפשרות בחירה (לדוגמה במצב של תרדמת) וכאשר בני הזוג לא קיימו חיי משפחה הלכה למעשה –לא גרו יחדיו, גם לא בחלק מהזמן; לא חגגו חגים ואירועים משפחתיים יחדיו; לא קיימו שיתוף כלכלי ורכושי והתקיימו בכל פרט בחייהם בנפרד לחלוטין, איש איש בדרכו, אף שנותרו נשואים באופן פורמלי ברישומים הממשלתיים – אלה הם "נישואין על הנייר" אשר נדונו בפסיקה שאימצה את הגישה המהותית – </w:t>
      </w:r>
      <w:r>
        <w:rPr>
          <w:rFonts w:ascii="David" w:eastAsia="Times New Roman" w:hAnsi="David" w:cs="David"/>
          <w:b/>
          <w:bCs/>
          <w:sz w:val="24"/>
          <w:szCs w:val="24"/>
          <w:rtl/>
        </w:rPr>
        <w:t>במובחן לחלוטין מהמקרה שבפנינו</w:t>
      </w:r>
      <w:r>
        <w:rPr>
          <w:rFonts w:ascii="David" w:eastAsia="Times New Roman" w:hAnsi="David" w:cs="David"/>
          <w:sz w:val="24"/>
          <w:szCs w:val="24"/>
          <w:rtl/>
        </w:rPr>
        <w:t xml:space="preserve">. </w:t>
      </w:r>
    </w:p>
    <w:p w:rsidR="005D7C89" w:rsidRDefault="005D7C89" w:rsidP="005D7C89">
      <w:pPr>
        <w:pStyle w:val="ad"/>
        <w:tabs>
          <w:tab w:val="left" w:pos="567"/>
        </w:tabs>
        <w:spacing w:after="0" w:line="360" w:lineRule="auto"/>
        <w:ind w:left="567"/>
        <w:contextualSpacing w:val="0"/>
        <w:jc w:val="both"/>
        <w:rPr>
          <w:rFonts w:ascii="David" w:eastAsia="Times New Roman" w:hAnsi="David" w:cs="David"/>
          <w:sz w:val="24"/>
          <w:szCs w:val="24"/>
          <w:rtl/>
        </w:rPr>
      </w:pPr>
    </w:p>
    <w:p w:rsidR="00570148" w:rsidRDefault="00570148" w:rsidP="005D7C89">
      <w:pPr>
        <w:pStyle w:val="ruller4"/>
        <w:numPr>
          <w:ilvl w:val="0"/>
          <w:numId w:val="1"/>
        </w:numPr>
        <w:shd w:val="clear" w:color="auto" w:fill="FFFFFF"/>
        <w:tabs>
          <w:tab w:val="left" w:pos="567"/>
        </w:tabs>
        <w:bidi/>
        <w:spacing w:before="0" w:beforeAutospacing="0" w:after="0" w:afterAutospacing="0" w:line="360" w:lineRule="auto"/>
        <w:ind w:left="567" w:hanging="567"/>
        <w:jc w:val="both"/>
        <w:rPr>
          <w:rFonts w:ascii="David" w:hAnsi="David" w:cs="David"/>
        </w:rPr>
      </w:pPr>
      <w:r>
        <w:rPr>
          <w:rFonts w:ascii="David" w:hAnsi="David" w:cs="David"/>
          <w:rtl/>
        </w:rPr>
        <w:tab/>
        <w:t xml:space="preserve">בבע"מ 4532/20 </w:t>
      </w:r>
      <w:r>
        <w:rPr>
          <w:rFonts w:ascii="David" w:hAnsi="David" w:cs="David"/>
          <w:b/>
          <w:bCs/>
          <w:rtl/>
        </w:rPr>
        <w:t>פלוני נ' פלוני</w:t>
      </w:r>
      <w:r>
        <w:rPr>
          <w:rFonts w:ascii="David" w:hAnsi="David" w:cs="David"/>
          <w:rtl/>
        </w:rPr>
        <w:t xml:space="preserve"> (נבו, 19.07.2020)‏‏, עתרו המבקשים בבקשת רשות ערעור לבית המשפט העליון, לנוכח טענתם בדבר אי האחידות בערכאות הדיוניות בגישה הננקטת בפירוש המונח "בן זוג" לצורך חוק הירושה. כב' השופט מזוז דחה את בקשת רשות הערעור בפסק דין תמציתי והבהיר כי הגישה שיש לנקוט בנוגע לפרשנות המונח "בן זוג" – היא גישה פורמלית, בצטטו את </w:t>
      </w:r>
      <w:r>
        <w:rPr>
          <w:rFonts w:ascii="David" w:hAnsi="David" w:cs="David"/>
          <w:b/>
          <w:bCs/>
          <w:rtl/>
        </w:rPr>
        <w:t>פרשת סבג</w:t>
      </w:r>
      <w:r>
        <w:rPr>
          <w:rFonts w:ascii="David" w:hAnsi="David" w:cs="David"/>
          <w:rtl/>
        </w:rPr>
        <w:t xml:space="preserve"> לעיל:</w:t>
      </w:r>
    </w:p>
    <w:p w:rsidR="00EB48D9" w:rsidRDefault="00EB48D9" w:rsidP="00EB48D9">
      <w:pPr>
        <w:pStyle w:val="ruller4"/>
        <w:shd w:val="clear" w:color="auto" w:fill="FFFFFF"/>
        <w:tabs>
          <w:tab w:val="left" w:pos="567"/>
        </w:tabs>
        <w:bidi/>
        <w:spacing w:before="0" w:beforeAutospacing="0" w:after="0" w:afterAutospacing="0" w:line="360" w:lineRule="auto"/>
        <w:jc w:val="both"/>
        <w:rPr>
          <w:rFonts w:ascii="David" w:hAnsi="David" w:cs="David"/>
        </w:rPr>
      </w:pPr>
    </w:p>
    <w:p w:rsidR="00570148" w:rsidRDefault="00570148" w:rsidP="005D7C89">
      <w:pPr>
        <w:pStyle w:val="ruller4"/>
        <w:shd w:val="clear" w:color="auto" w:fill="FFFFFF"/>
        <w:tabs>
          <w:tab w:val="left" w:pos="1076"/>
        </w:tabs>
        <w:bidi/>
        <w:spacing w:before="0" w:beforeAutospacing="0" w:after="0" w:afterAutospacing="0" w:line="360" w:lineRule="auto"/>
        <w:ind w:left="1076" w:right="567"/>
        <w:jc w:val="both"/>
        <w:rPr>
          <w:rFonts w:ascii="David" w:hAnsi="David" w:cs="David"/>
        </w:rPr>
      </w:pPr>
      <w:r>
        <w:rPr>
          <w:rFonts w:ascii="David" w:hAnsi="David" w:cs="David"/>
          <w:rtl/>
        </w:rPr>
        <w:t xml:space="preserve">"הטענה בדבר גישה לא אחידה בפסיקה בנוגע לפרשנות המונח "בן זוג" שבחוק  הירושה, אינה מדויקת כל עיקר. </w:t>
      </w:r>
      <w:r>
        <w:rPr>
          <w:rFonts w:ascii="David" w:hAnsi="David" w:cs="David"/>
          <w:b/>
          <w:bCs/>
          <w:rtl/>
        </w:rPr>
        <w:t>בפסיקתו של בית משפט זה הובהר כי יש לפרש את המונח "בן זוג" לענין הוראות סעיפים 11-10 לחוק הירושה כמתייחסות לסטאטוס  הפורמאלי שלהם, מבלי שיש לייחס משמעות לטיב מערכת היחסים</w:t>
      </w:r>
      <w:r>
        <w:rPr>
          <w:rFonts w:ascii="David" w:hAnsi="David" w:cs="David"/>
        </w:rPr>
        <w:t>:</w:t>
      </w:r>
    </w:p>
    <w:p w:rsidR="00570148" w:rsidRDefault="00570148" w:rsidP="005D7C89">
      <w:pPr>
        <w:pStyle w:val="ruller4"/>
        <w:shd w:val="clear" w:color="auto" w:fill="FFFFFF"/>
        <w:tabs>
          <w:tab w:val="left" w:pos="1076"/>
        </w:tabs>
        <w:bidi/>
        <w:spacing w:before="0" w:beforeAutospacing="0" w:after="0" w:afterAutospacing="0" w:line="360" w:lineRule="auto"/>
        <w:ind w:left="1076" w:right="567"/>
        <w:jc w:val="both"/>
        <w:rPr>
          <w:rFonts w:ascii="David" w:hAnsi="David" w:cs="David"/>
          <w:rtl/>
        </w:rPr>
      </w:pPr>
      <w:r>
        <w:rPr>
          <w:rFonts w:ascii="David" w:hAnsi="David" w:cs="David"/>
        </w:rPr>
        <w:t>"</w:t>
      </w:r>
      <w:r>
        <w:rPr>
          <w:rFonts w:ascii="David" w:hAnsi="David" w:cs="David"/>
          <w:rtl/>
        </w:rPr>
        <w:t xml:space="preserve">בית-משפט זה פסק, בהזדמנויות שונות, כי השאלה אם פלונית היא בת-זוגו של פלוני תוכרע לפי הצורך במתן גט כדי לשים קץ לקשריה עמו, אפילו המדובר בנישואי ספק ובדרישה לגט לחומרה. כך, אין גם חשיבות לטיבה של מערכת היחסים שהייתה בין בני-הזוג, ואף לא לעובדה שחיו בנפרד בעת מותו של המוריש" (ע"א 247/97‏ </w:t>
      </w:r>
      <w:r>
        <w:rPr>
          <w:rFonts w:ascii="David" w:hAnsi="David" w:cs="David"/>
          <w:b/>
          <w:bCs/>
          <w:rtl/>
        </w:rPr>
        <w:t>סבג נ' סבג</w:t>
      </w:r>
      <w:r>
        <w:rPr>
          <w:rFonts w:ascii="David" w:hAnsi="David" w:cs="David"/>
          <w:rtl/>
        </w:rPr>
        <w:t>, פ''ד נג(4) 49, 55 (1999).</w:t>
      </w:r>
    </w:p>
    <w:p w:rsidR="00570148" w:rsidRDefault="00570148" w:rsidP="005D7C89">
      <w:pPr>
        <w:pStyle w:val="ruller4"/>
        <w:shd w:val="clear" w:color="auto" w:fill="FFFFFF"/>
        <w:tabs>
          <w:tab w:val="left" w:pos="1076"/>
        </w:tabs>
        <w:bidi/>
        <w:spacing w:before="0" w:beforeAutospacing="0" w:after="0" w:afterAutospacing="0" w:line="360" w:lineRule="auto"/>
        <w:ind w:left="1076" w:right="567"/>
        <w:jc w:val="both"/>
        <w:rPr>
          <w:rFonts w:ascii="David" w:hAnsi="David" w:cs="David"/>
          <w:rtl/>
        </w:rPr>
      </w:pPr>
      <w:r>
        <w:rPr>
          <w:rFonts w:ascii="David" w:hAnsi="David" w:cs="David"/>
          <w:rtl/>
        </w:rPr>
        <w:t>וראו גם: ד"נ 14/66</w:t>
      </w:r>
      <w:r>
        <w:rPr>
          <w:rFonts w:ascii="David" w:hAnsi="David" w:cs="David"/>
          <w:b/>
          <w:bCs/>
          <w:rtl/>
        </w:rPr>
        <w:t xml:space="preserve"> פלדמן נ' פלדמן,</w:t>
      </w:r>
      <w:r>
        <w:rPr>
          <w:rFonts w:ascii="David" w:hAnsi="David" w:cs="David"/>
          <w:rtl/>
        </w:rPr>
        <w:t xml:space="preserve"> פ"ד כ(4) 693 (1966); ע"א 524/87 </w:t>
      </w:r>
      <w:r>
        <w:rPr>
          <w:rFonts w:ascii="David" w:hAnsi="David" w:cs="David"/>
          <w:b/>
          <w:bCs/>
          <w:rtl/>
        </w:rPr>
        <w:t>היועץ המשפטי לממשלה נ' ביהם</w:t>
      </w:r>
      <w:r>
        <w:rPr>
          <w:rFonts w:ascii="David" w:hAnsi="David" w:cs="David"/>
          <w:rtl/>
        </w:rPr>
        <w:t xml:space="preserve">, פ''ד מג(3) 485, 489 (1989); בע"מ 9607/03 </w:t>
      </w:r>
      <w:r>
        <w:rPr>
          <w:rFonts w:ascii="David" w:hAnsi="David" w:cs="David"/>
          <w:b/>
          <w:bCs/>
          <w:rtl/>
        </w:rPr>
        <w:t>פלוני נ' פלונית</w:t>
      </w:r>
      <w:r>
        <w:rPr>
          <w:rFonts w:ascii="David" w:hAnsi="David" w:cs="David"/>
          <w:rtl/>
        </w:rPr>
        <w:t>, פסקה 15</w:t>
      </w:r>
      <w:r>
        <w:rPr>
          <w:rFonts w:ascii="David" w:hAnsi="David" w:cs="David"/>
        </w:rPr>
        <w:t xml:space="preserve"> (29.11.2006)).</w:t>
      </w:r>
    </w:p>
    <w:p w:rsidR="00570148" w:rsidRDefault="00570148" w:rsidP="005D7C89">
      <w:pPr>
        <w:pStyle w:val="ruller4"/>
        <w:shd w:val="clear" w:color="auto" w:fill="FFFFFF"/>
        <w:tabs>
          <w:tab w:val="left" w:pos="1076"/>
        </w:tabs>
        <w:bidi/>
        <w:spacing w:before="0" w:beforeAutospacing="0" w:after="0" w:afterAutospacing="0" w:line="360" w:lineRule="auto"/>
        <w:ind w:left="1076" w:right="567"/>
        <w:jc w:val="both"/>
        <w:rPr>
          <w:rFonts w:ascii="David" w:hAnsi="David" w:cs="David"/>
          <w:rtl/>
        </w:rPr>
      </w:pPr>
      <w:r>
        <w:rPr>
          <w:rFonts w:ascii="David" w:hAnsi="David" w:cs="David"/>
          <w:b/>
          <w:bCs/>
          <w:rtl/>
        </w:rPr>
        <w:t>אציין עוד, כי פסקי הדין של בתי המשפט לענייני משפחה, אשר נקטו כנטען ב"גישה המהותית", ברובם בוטלו בערכאת הערעור, ולא בכדי</w:t>
      </w:r>
      <w:r>
        <w:rPr>
          <w:rFonts w:ascii="David" w:hAnsi="David" w:cs="David"/>
          <w:rtl/>
        </w:rPr>
        <w:t xml:space="preserve"> (ראו למשל: עמ"ש 38845-10-12 </w:t>
      </w:r>
      <w:r>
        <w:rPr>
          <w:rFonts w:ascii="David" w:hAnsi="David" w:cs="David"/>
          <w:b/>
          <w:bCs/>
          <w:rtl/>
        </w:rPr>
        <w:t>פלונית נ' ל.א.</w:t>
      </w:r>
      <w:r>
        <w:rPr>
          <w:rFonts w:ascii="David" w:hAnsi="David" w:cs="David"/>
          <w:rtl/>
        </w:rPr>
        <w:t>, בפסקאות 32-20 (7.1.2015))." (ההדגשה נוספה – ש.כ).</w:t>
      </w:r>
    </w:p>
    <w:p w:rsidR="005D7C89" w:rsidRDefault="005D7C89" w:rsidP="005D7C89">
      <w:pPr>
        <w:pStyle w:val="ruller4"/>
        <w:shd w:val="clear" w:color="auto" w:fill="FFFFFF"/>
        <w:tabs>
          <w:tab w:val="left" w:pos="1076"/>
        </w:tabs>
        <w:bidi/>
        <w:spacing w:before="0" w:beforeAutospacing="0" w:after="0" w:afterAutospacing="0" w:line="360" w:lineRule="auto"/>
        <w:ind w:left="1076" w:right="567"/>
        <w:jc w:val="both"/>
        <w:rPr>
          <w:rFonts w:ascii="David" w:hAnsi="David" w:cs="David"/>
          <w:rtl/>
        </w:rPr>
      </w:pPr>
    </w:p>
    <w:p w:rsidR="00570148" w:rsidRDefault="00570148" w:rsidP="005D7C89">
      <w:pPr>
        <w:pStyle w:val="ruller4"/>
        <w:numPr>
          <w:ilvl w:val="0"/>
          <w:numId w:val="1"/>
        </w:numPr>
        <w:shd w:val="clear" w:color="auto" w:fill="FFFFFF"/>
        <w:tabs>
          <w:tab w:val="left" w:pos="567"/>
        </w:tabs>
        <w:bidi/>
        <w:spacing w:before="0" w:beforeAutospacing="0" w:after="0" w:afterAutospacing="0" w:line="360" w:lineRule="auto"/>
        <w:ind w:left="567" w:hanging="567"/>
        <w:jc w:val="both"/>
        <w:rPr>
          <w:rFonts w:ascii="David" w:hAnsi="David" w:cs="David"/>
        </w:rPr>
      </w:pPr>
      <w:r>
        <w:rPr>
          <w:rFonts w:ascii="David" w:hAnsi="David" w:cs="David"/>
          <w:rtl/>
        </w:rPr>
        <w:tab/>
        <w:t>כעת אפנה לבחינת הדין והכללים הפרשניים שהותוו ונקבעו בפסיקה ביחס לעובדות המקרה והראיות שהובאו בפני.</w:t>
      </w:r>
    </w:p>
    <w:p w:rsidR="005D7C89" w:rsidRDefault="005D7C89" w:rsidP="005D7C89">
      <w:pPr>
        <w:pStyle w:val="ruller4"/>
        <w:shd w:val="clear" w:color="auto" w:fill="FFFFFF"/>
        <w:tabs>
          <w:tab w:val="left" w:pos="567"/>
        </w:tabs>
        <w:bidi/>
        <w:spacing w:before="0" w:beforeAutospacing="0" w:after="0" w:afterAutospacing="0" w:line="360" w:lineRule="auto"/>
        <w:ind w:left="567"/>
        <w:jc w:val="both"/>
        <w:rPr>
          <w:rFonts w:ascii="David" w:hAnsi="David" w:cs="David"/>
          <w:rtl/>
        </w:rPr>
      </w:pPr>
    </w:p>
    <w:p w:rsidR="00570148" w:rsidRDefault="00570148" w:rsidP="005D7C89">
      <w:pPr>
        <w:pStyle w:val="ruller4"/>
        <w:numPr>
          <w:ilvl w:val="0"/>
          <w:numId w:val="1"/>
        </w:numPr>
        <w:shd w:val="clear" w:color="auto" w:fill="FFFFFF"/>
        <w:tabs>
          <w:tab w:val="left" w:pos="567"/>
        </w:tabs>
        <w:bidi/>
        <w:spacing w:before="0" w:beforeAutospacing="0" w:after="0" w:afterAutospacing="0" w:line="360" w:lineRule="auto"/>
        <w:ind w:left="567" w:hanging="567"/>
        <w:jc w:val="both"/>
        <w:rPr>
          <w:rFonts w:ascii="David" w:hAnsi="David" w:cs="David"/>
          <w:b/>
          <w:bCs/>
        </w:rPr>
      </w:pPr>
      <w:r>
        <w:rPr>
          <w:rFonts w:ascii="David" w:hAnsi="David" w:cs="David"/>
          <w:b/>
          <w:bCs/>
          <w:rtl/>
        </w:rPr>
        <w:t xml:space="preserve"> </w:t>
      </w:r>
      <w:r>
        <w:rPr>
          <w:rFonts w:ascii="David" w:hAnsi="David" w:cs="David"/>
          <w:b/>
          <w:bCs/>
          <w:rtl/>
        </w:rPr>
        <w:tab/>
        <w:t>לאחר שעיינתי בכל אשר מונח לפניי בהליך זה ובתיקים הקשורים, ולאחר ששמעתי עדויות הצדדים ויתר העדים מטעמם ולאחר ששקלתי בדבר, סבורני כי במקרה דנן אין לראות במתנגדת בת זוגו של המנוח הזכאית לרשת את עזבונו, הן בהיבט הפורמלי והן בהיבט המהותי. להלן אפרט טעמי לקביעה זו.</w:t>
      </w:r>
    </w:p>
    <w:p w:rsidR="005D7C89" w:rsidRDefault="005D7C89" w:rsidP="005D7C89">
      <w:pPr>
        <w:pStyle w:val="ruller4"/>
        <w:shd w:val="clear" w:color="auto" w:fill="FFFFFF"/>
        <w:tabs>
          <w:tab w:val="left" w:pos="567"/>
        </w:tabs>
        <w:bidi/>
        <w:spacing w:before="0" w:beforeAutospacing="0" w:after="0" w:afterAutospacing="0" w:line="360" w:lineRule="auto"/>
        <w:jc w:val="both"/>
        <w:rPr>
          <w:rFonts w:ascii="David" w:hAnsi="David" w:cs="David"/>
          <w:b/>
          <w:bCs/>
        </w:rPr>
      </w:pPr>
    </w:p>
    <w:p w:rsidR="00570148" w:rsidRDefault="00570148" w:rsidP="005D7C89">
      <w:pPr>
        <w:pStyle w:val="ruller4"/>
        <w:numPr>
          <w:ilvl w:val="0"/>
          <w:numId w:val="1"/>
        </w:numPr>
        <w:shd w:val="clear" w:color="auto" w:fill="FFFFFF"/>
        <w:tabs>
          <w:tab w:val="left" w:pos="567"/>
        </w:tabs>
        <w:bidi/>
        <w:spacing w:before="0" w:beforeAutospacing="0" w:after="0" w:afterAutospacing="0" w:line="360" w:lineRule="auto"/>
        <w:ind w:left="567" w:hanging="567"/>
        <w:jc w:val="both"/>
        <w:rPr>
          <w:rFonts w:ascii="David" w:hAnsi="David" w:cs="David"/>
        </w:rPr>
      </w:pPr>
      <w:r>
        <w:rPr>
          <w:rFonts w:ascii="David" w:hAnsi="David" w:cs="David"/>
          <w:rtl/>
        </w:rPr>
        <w:t xml:space="preserve"> </w:t>
      </w:r>
      <w:r>
        <w:rPr>
          <w:rFonts w:ascii="David" w:hAnsi="David" w:cs="David"/>
          <w:rtl/>
        </w:rPr>
        <w:tab/>
        <w:t xml:space="preserve">אין חולק, כי על פי הגישה הפורמלית השולטת בכיפה, המשיבה 1 היתה נשואה למנוח בשעת פטירתו ומכאן שיש לראותה כ"בת זוגו" של המנוח כאמור בסעיפים 10 ו-11 לחוק הירושה. </w:t>
      </w:r>
    </w:p>
    <w:p w:rsidR="005D7C89" w:rsidRDefault="005D7C89" w:rsidP="005D7C89">
      <w:pPr>
        <w:pStyle w:val="ruller4"/>
        <w:shd w:val="clear" w:color="auto" w:fill="FFFFFF"/>
        <w:tabs>
          <w:tab w:val="left" w:pos="567"/>
        </w:tabs>
        <w:bidi/>
        <w:spacing w:before="0" w:beforeAutospacing="0" w:after="0" w:afterAutospacing="0" w:line="360" w:lineRule="auto"/>
        <w:jc w:val="both"/>
        <w:rPr>
          <w:rFonts w:ascii="David" w:hAnsi="David" w:cs="David"/>
        </w:rPr>
      </w:pPr>
    </w:p>
    <w:p w:rsidR="00570148" w:rsidRDefault="00570148" w:rsidP="005D7C89">
      <w:pPr>
        <w:pStyle w:val="ruller4"/>
        <w:numPr>
          <w:ilvl w:val="0"/>
          <w:numId w:val="1"/>
        </w:numPr>
        <w:shd w:val="clear" w:color="auto" w:fill="FFFFFF"/>
        <w:tabs>
          <w:tab w:val="left" w:pos="567"/>
        </w:tabs>
        <w:bidi/>
        <w:spacing w:before="0" w:beforeAutospacing="0" w:after="0" w:afterAutospacing="0" w:line="360" w:lineRule="auto"/>
        <w:ind w:left="567" w:hanging="567"/>
        <w:jc w:val="both"/>
        <w:rPr>
          <w:rFonts w:ascii="David" w:hAnsi="David" w:cs="David"/>
        </w:rPr>
      </w:pPr>
      <w:r>
        <w:rPr>
          <w:rFonts w:ascii="David" w:hAnsi="David" w:cs="David"/>
          <w:rtl/>
        </w:rPr>
        <w:t xml:space="preserve"> </w:t>
      </w:r>
      <w:r>
        <w:rPr>
          <w:rFonts w:ascii="David" w:hAnsi="David" w:cs="David"/>
          <w:rtl/>
        </w:rPr>
        <w:tab/>
        <w:t xml:space="preserve">על אף שסבורני, כי לאור פסיקת בית המשפט העליון נסיבות המקרה שבפני אינן מצדיקות להידרש לבחינת המונח "בן זוג" בהתאם לגישה המהותית, יפורט להלן, למעלה מן הצורך, כי גם בחינה המהותית של מערכת היחסים שבין המנוח למשיבה 1 מובילני לתוצאה לפיה אלמנת המנוח, המשיבה 1, היא בת זוגו ובתוך כך, יורשת את מחצית עזבונו. </w:t>
      </w:r>
    </w:p>
    <w:p w:rsidR="00570148" w:rsidRDefault="00570148" w:rsidP="005D7C89">
      <w:pPr>
        <w:pStyle w:val="ruller4"/>
        <w:numPr>
          <w:ilvl w:val="0"/>
          <w:numId w:val="1"/>
        </w:numPr>
        <w:shd w:val="clear" w:color="auto" w:fill="FFFFFF"/>
        <w:tabs>
          <w:tab w:val="left" w:pos="567"/>
        </w:tabs>
        <w:bidi/>
        <w:spacing w:before="0" w:beforeAutospacing="0" w:after="0" w:afterAutospacing="0" w:line="360" w:lineRule="auto"/>
        <w:ind w:left="567" w:hanging="567"/>
        <w:jc w:val="both"/>
        <w:rPr>
          <w:rFonts w:ascii="David" w:hAnsi="David" w:cs="David"/>
        </w:rPr>
      </w:pPr>
      <w:r>
        <w:rPr>
          <w:rFonts w:ascii="David" w:hAnsi="David" w:cs="David"/>
          <w:rtl/>
        </w:rPr>
        <w:t xml:space="preserve"> </w:t>
      </w:r>
      <w:r>
        <w:rPr>
          <w:rFonts w:ascii="David" w:hAnsi="David" w:cs="David"/>
          <w:rtl/>
        </w:rPr>
        <w:tab/>
        <w:t xml:space="preserve">אקדים אחרית לראשית ואציין, כי מכלל הראיות שהוצגו בפניי, שוכנעתי בדבר קיומה של מערכת יחסים ארוכת שנים בין המנוח למתנגדת, אולם חשוב להבהיר כי </w:t>
      </w:r>
      <w:r>
        <w:rPr>
          <w:rFonts w:ascii="David" w:hAnsi="David" w:cs="David"/>
          <w:b/>
          <w:bCs/>
          <w:rtl/>
        </w:rPr>
        <w:t xml:space="preserve">על פי הגישה המהותית, </w:t>
      </w:r>
      <w:r w:rsidRPr="008F52E6">
        <w:rPr>
          <w:rFonts w:ascii="David" w:hAnsi="David" w:cs="David"/>
          <w:b/>
          <w:bCs/>
          <w:u w:val="single"/>
          <w:rtl/>
        </w:rPr>
        <w:t>עלינו לבחון תחילה את</w:t>
      </w:r>
      <w:r>
        <w:rPr>
          <w:rFonts w:ascii="David" w:hAnsi="David" w:cs="David"/>
          <w:b/>
          <w:bCs/>
          <w:u w:val="single"/>
          <w:rtl/>
        </w:rPr>
        <w:t xml:space="preserve"> טיב מערכת היחסים שבין המנוח לאשתו הרשומה</w:t>
      </w:r>
      <w:r>
        <w:rPr>
          <w:rFonts w:ascii="David" w:hAnsi="David" w:cs="David"/>
          <w:b/>
          <w:bCs/>
          <w:rtl/>
        </w:rPr>
        <w:t xml:space="preserve"> – המשיבה 1, וביחס לכך לא התרשמתי כי מדובר בנישואים ריקים מתוכן, "על הנייר" בלבד, כפי שמבקשת המתנגדת לטעון, לא מניה ולא מקצתיה</w:t>
      </w:r>
      <w:r>
        <w:rPr>
          <w:rFonts w:ascii="David" w:hAnsi="David" w:cs="David"/>
          <w:rtl/>
        </w:rPr>
        <w:t xml:space="preserve">.  </w:t>
      </w:r>
    </w:p>
    <w:p w:rsidR="005D7C89" w:rsidRDefault="005D7C89" w:rsidP="005D7C89">
      <w:pPr>
        <w:pStyle w:val="ruller4"/>
        <w:shd w:val="clear" w:color="auto" w:fill="FFFFFF"/>
        <w:tabs>
          <w:tab w:val="left" w:pos="567"/>
        </w:tabs>
        <w:bidi/>
        <w:spacing w:before="0" w:beforeAutospacing="0" w:after="0" w:afterAutospacing="0" w:line="360" w:lineRule="auto"/>
        <w:ind w:left="567"/>
        <w:jc w:val="both"/>
        <w:rPr>
          <w:rFonts w:ascii="David" w:hAnsi="David" w:cs="David"/>
        </w:rPr>
      </w:pPr>
    </w:p>
    <w:p w:rsidR="00570148" w:rsidRDefault="005D7C89" w:rsidP="00E22F60">
      <w:pPr>
        <w:pStyle w:val="ruller4"/>
        <w:numPr>
          <w:ilvl w:val="0"/>
          <w:numId w:val="1"/>
        </w:numPr>
        <w:shd w:val="clear" w:color="auto" w:fill="FFFFFF"/>
        <w:tabs>
          <w:tab w:val="left" w:pos="567"/>
        </w:tabs>
        <w:bidi/>
        <w:spacing w:before="0" w:beforeAutospacing="0" w:after="0" w:afterAutospacing="0" w:line="360" w:lineRule="auto"/>
        <w:ind w:left="567" w:hanging="567"/>
        <w:jc w:val="both"/>
        <w:rPr>
          <w:rFonts w:ascii="David" w:hAnsi="David" w:cs="David"/>
        </w:rPr>
      </w:pPr>
      <w:r>
        <w:rPr>
          <w:rFonts w:ascii="David" w:hAnsi="David" w:cs="David" w:hint="cs"/>
          <w:rtl/>
        </w:rPr>
        <w:t xml:space="preserve"> </w:t>
      </w:r>
      <w:r>
        <w:rPr>
          <w:rFonts w:ascii="David" w:hAnsi="David" w:cs="David" w:hint="cs"/>
          <w:rtl/>
        </w:rPr>
        <w:tab/>
      </w:r>
      <w:r w:rsidR="00570148">
        <w:rPr>
          <w:rFonts w:ascii="David" w:hAnsi="David" w:cs="David"/>
          <w:rtl/>
        </w:rPr>
        <w:t>בנדוננו, הצהרות המנוח שנמסרו בגדרי הליך האפוטרופסות שהתנהל בעניינו מלמדנו על אודות רצונו של המנוח ב"זמן אמת" בערוב ימיו. הצהרות המנוח שנמסרו בגדרי הליך האפוטרופסות מוכיחות, כי הנישואים של המנוח והמשיבה 1 לא היו פורמליים גרידא כפי שמבקשת המתנגדת לטעון, עת המנוח עצמו הגדיר את המתנגדת אך כ"</w:t>
      </w:r>
      <w:r w:rsidR="00570148">
        <w:rPr>
          <w:rFonts w:ascii="David" w:hAnsi="David" w:cs="David"/>
          <w:b/>
          <w:bCs/>
          <w:rtl/>
        </w:rPr>
        <w:t xml:space="preserve">אישה </w:t>
      </w:r>
      <w:r w:rsidR="00570148">
        <w:rPr>
          <w:rFonts w:ascii="David" w:hAnsi="David" w:cs="David"/>
          <w:b/>
          <w:bCs/>
          <w:u w:val="single"/>
          <w:rtl/>
        </w:rPr>
        <w:t>נוספת</w:t>
      </w:r>
      <w:r w:rsidR="00570148">
        <w:rPr>
          <w:rFonts w:ascii="David" w:hAnsi="David" w:cs="David"/>
          <w:b/>
          <w:bCs/>
          <w:rtl/>
        </w:rPr>
        <w:t xml:space="preserve"> בחייו</w:t>
      </w:r>
      <w:r w:rsidR="00570148">
        <w:rPr>
          <w:rFonts w:ascii="David" w:hAnsi="David" w:cs="David"/>
          <w:rtl/>
        </w:rPr>
        <w:t>", "</w:t>
      </w:r>
      <w:r w:rsidR="00570148">
        <w:rPr>
          <w:rFonts w:ascii="David" w:hAnsi="David" w:cs="David"/>
          <w:b/>
          <w:bCs/>
          <w:rtl/>
        </w:rPr>
        <w:t xml:space="preserve">אישה </w:t>
      </w:r>
      <w:r w:rsidR="00570148">
        <w:rPr>
          <w:rFonts w:ascii="David" w:hAnsi="David" w:cs="David"/>
          <w:b/>
          <w:bCs/>
          <w:u w:val="single"/>
          <w:rtl/>
        </w:rPr>
        <w:t>אחרת</w:t>
      </w:r>
      <w:r w:rsidR="00570148">
        <w:rPr>
          <w:rFonts w:ascii="David" w:hAnsi="David" w:cs="David"/>
          <w:b/>
          <w:bCs/>
          <w:rtl/>
        </w:rPr>
        <w:t xml:space="preserve"> בחייו</w:t>
      </w:r>
      <w:r w:rsidR="00570148">
        <w:rPr>
          <w:rFonts w:ascii="David" w:hAnsi="David" w:cs="David"/>
          <w:rtl/>
        </w:rPr>
        <w:t xml:space="preserve">" (ר' סעיפים 8 ו-11 בהתאמה, לתגובת המנוח מיום 18.10.2015 בהליך האפוטרופסות – צורף כנספח ל' לתצהיר המתנגדת), ובוודאי לא ביקש לאיין ו/או לבטל את מעמדה של המשיבה 1 כאשתו, חרף כך שהיו בפיו טענות ביחס למניעים שעמדו ביסוד בקשתה למינוי אפוטרופוס. בעניין זה העיד בפני עוה"ד מלכיאלי, אשר ייצג את המנוח בהליך האפוטרופסות, שהמנוח סיפר לו: "יש לי </w:t>
      </w:r>
      <w:r w:rsidR="00570148">
        <w:rPr>
          <w:rFonts w:ascii="David" w:hAnsi="David" w:cs="David"/>
          <w:b/>
          <w:bCs/>
          <w:rtl/>
        </w:rPr>
        <w:t>מאהבת</w:t>
      </w:r>
      <w:r w:rsidR="00570148">
        <w:rPr>
          <w:rFonts w:ascii="David" w:hAnsi="David" w:cs="David"/>
          <w:rtl/>
        </w:rPr>
        <w:t xml:space="preserve"> מזה 23 שנים, </w:t>
      </w:r>
      <w:r w:rsidR="00570148">
        <w:rPr>
          <w:rFonts w:ascii="David" w:hAnsi="David" w:cs="David"/>
          <w:b/>
          <w:bCs/>
          <w:rtl/>
        </w:rPr>
        <w:t>חייתי חיים כפולים</w:t>
      </w:r>
      <w:r w:rsidR="00570148">
        <w:rPr>
          <w:rFonts w:ascii="David" w:hAnsi="David" w:cs="David"/>
          <w:rtl/>
        </w:rPr>
        <w:t xml:space="preserve"> עם ה</w:t>
      </w:r>
      <w:r w:rsidR="00E22F60">
        <w:rPr>
          <w:rFonts w:ascii="David" w:hAnsi="David" w:cs="David" w:hint="cs"/>
          <w:rtl/>
        </w:rPr>
        <w:t>'</w:t>
      </w:r>
      <w:r w:rsidR="00570148">
        <w:rPr>
          <w:rFonts w:ascii="David" w:hAnsi="David" w:cs="David"/>
          <w:rtl/>
        </w:rPr>
        <w:t xml:space="preserve"> עובדת בחברה" (ר' עמ' 4, ש' 23-24 לפרוטוקול הדיון, ההדגשה נוספה – ש.כ. ר' בעניין זה גם עדותו של עוה"ד מלכיאלי בעמ' 12, ש' 17-35 לפרוטוקול הדיון מיום 19.1.2023).</w:t>
      </w:r>
    </w:p>
    <w:p w:rsidR="005D7C89" w:rsidRDefault="005D7C89" w:rsidP="005D7C89">
      <w:pPr>
        <w:pStyle w:val="ruller4"/>
        <w:shd w:val="clear" w:color="auto" w:fill="FFFFFF"/>
        <w:tabs>
          <w:tab w:val="left" w:pos="567"/>
        </w:tabs>
        <w:bidi/>
        <w:spacing w:before="0" w:beforeAutospacing="0" w:after="0" w:afterAutospacing="0" w:line="360" w:lineRule="auto"/>
        <w:ind w:left="567"/>
        <w:jc w:val="both"/>
        <w:rPr>
          <w:rFonts w:ascii="David" w:hAnsi="David" w:cs="David"/>
          <w:rtl/>
        </w:rPr>
      </w:pPr>
    </w:p>
    <w:p w:rsidR="00570148" w:rsidRDefault="00570148" w:rsidP="005D7C89">
      <w:pPr>
        <w:pStyle w:val="ruller4"/>
        <w:shd w:val="clear" w:color="auto" w:fill="FFFFFF"/>
        <w:tabs>
          <w:tab w:val="left" w:pos="567"/>
        </w:tabs>
        <w:bidi/>
        <w:spacing w:before="0" w:beforeAutospacing="0" w:after="0" w:afterAutospacing="0" w:line="360" w:lineRule="auto"/>
        <w:ind w:left="567"/>
        <w:jc w:val="both"/>
        <w:rPr>
          <w:rFonts w:ascii="David" w:hAnsi="David" w:cs="David"/>
          <w:rtl/>
        </w:rPr>
      </w:pPr>
      <w:r>
        <w:rPr>
          <w:rFonts w:ascii="David" w:hAnsi="David" w:cs="David"/>
          <w:rtl/>
        </w:rPr>
        <w:t>בעניין זה חשוב לציין, כי עוה"ד מלכיאלי הינו עו"ד ותיק ועתיר ניסיון ואין לו כל עניין  בתוצאות ההליך, אשר התרשם בזמנו כי המנוח מבין בדבר, שקול וכשיר ליתן עמדתו בשאלת האפוטרופסות (ר' עדותו בנדון בעמ' 4, ש' 33-36 – עמ' 5, ש' 1-2; עמ' 5, ש' 27-35 לפרוטוקול הדיון מיום 19.1.2023). עדותו של עוה"ד מלכיאלי נמסרה תוך שהוא מעיין ומקריא מתוך דפי עבודה שנכתבו על ידו בזמן אמת, ועדותו נמצאה מהימנה עלי.</w:t>
      </w:r>
    </w:p>
    <w:p w:rsidR="005D7C89" w:rsidRDefault="005D7C89" w:rsidP="005D7C89">
      <w:pPr>
        <w:pStyle w:val="ruller4"/>
        <w:shd w:val="clear" w:color="auto" w:fill="FFFFFF"/>
        <w:tabs>
          <w:tab w:val="left" w:pos="567"/>
        </w:tabs>
        <w:bidi/>
        <w:spacing w:before="0" w:beforeAutospacing="0" w:after="0" w:afterAutospacing="0" w:line="360" w:lineRule="auto"/>
        <w:ind w:left="567"/>
        <w:jc w:val="both"/>
        <w:rPr>
          <w:rFonts w:ascii="David" w:hAnsi="David" w:cs="David"/>
        </w:rPr>
      </w:pPr>
    </w:p>
    <w:p w:rsidR="00570148" w:rsidRDefault="00570148" w:rsidP="00447236">
      <w:pPr>
        <w:pStyle w:val="ruller4"/>
        <w:numPr>
          <w:ilvl w:val="0"/>
          <w:numId w:val="1"/>
        </w:numPr>
        <w:shd w:val="clear" w:color="auto" w:fill="FFFFFF"/>
        <w:tabs>
          <w:tab w:val="left" w:pos="567"/>
        </w:tabs>
        <w:bidi/>
        <w:spacing w:before="0" w:beforeAutospacing="0" w:after="0" w:afterAutospacing="0" w:line="360" w:lineRule="auto"/>
        <w:ind w:left="567" w:hanging="567"/>
        <w:jc w:val="both"/>
        <w:rPr>
          <w:rFonts w:ascii="David" w:hAnsi="David" w:cs="David"/>
        </w:rPr>
      </w:pPr>
      <w:r>
        <w:rPr>
          <w:rFonts w:ascii="David" w:hAnsi="David" w:cs="David"/>
          <w:rtl/>
        </w:rPr>
        <w:t xml:space="preserve"> </w:t>
      </w:r>
      <w:r>
        <w:rPr>
          <w:rFonts w:ascii="David" w:hAnsi="David" w:cs="David"/>
          <w:rtl/>
        </w:rPr>
        <w:tab/>
        <w:t>מערכת היחסים שבין המנוח והמתנגדת עלתה מראשית הליך האפוטרופסות ועד סופו במשך מספר שנים. לאורך כל ההליך, המנוח עמד על רצונו לשהות בבית המתנגדת באמצע השבוע, ובביתו שב</w:t>
      </w:r>
      <w:r w:rsidR="00447236">
        <w:rPr>
          <w:rFonts w:ascii="David" w:hAnsi="David" w:cs="David" w:hint="cs"/>
          <w:rtl/>
        </w:rPr>
        <w:t>-מ'</w:t>
      </w:r>
      <w:r>
        <w:rPr>
          <w:rFonts w:ascii="David" w:hAnsi="David" w:cs="David"/>
          <w:rtl/>
        </w:rPr>
        <w:t xml:space="preserve"> לצד המשיבה 1 בסופי השבוע, והגיש בקשה בעניין זה לקביעת מקום שהייתו (ר' הבקשה מיום 11.11.2015). מתסקיר העו"ס וחוות הדעת אשר הוגשו בהליך האפוטרופסות, עולה, כי המנוח השתמש בכינוי "</w:t>
      </w:r>
      <w:r>
        <w:rPr>
          <w:rFonts w:ascii="David" w:hAnsi="David" w:cs="David"/>
          <w:b/>
          <w:bCs/>
          <w:rtl/>
        </w:rPr>
        <w:t>מאהבת</w:t>
      </w:r>
      <w:r>
        <w:rPr>
          <w:rFonts w:ascii="David" w:hAnsi="David" w:cs="David"/>
          <w:rtl/>
        </w:rPr>
        <w:t>" ו-"</w:t>
      </w:r>
      <w:r>
        <w:rPr>
          <w:rFonts w:ascii="David" w:hAnsi="David" w:cs="David"/>
          <w:b/>
          <w:bCs/>
          <w:rtl/>
        </w:rPr>
        <w:t>חברה</w:t>
      </w:r>
      <w:r>
        <w:rPr>
          <w:rFonts w:ascii="David" w:hAnsi="David" w:cs="David"/>
          <w:rtl/>
        </w:rPr>
        <w:t>" ביחס למתנגדת ואת המשיבה 1 כינה "</w:t>
      </w:r>
      <w:r>
        <w:rPr>
          <w:rFonts w:ascii="David" w:hAnsi="David" w:cs="David"/>
          <w:b/>
          <w:bCs/>
          <w:rtl/>
        </w:rPr>
        <w:t>אשתו</w:t>
      </w:r>
      <w:r>
        <w:rPr>
          <w:rFonts w:ascii="David" w:hAnsi="David" w:cs="David"/>
          <w:rtl/>
        </w:rPr>
        <w:t xml:space="preserve">" (ר' למשל בעמ' 5 לתסקיר מיום 1.11.2015 – צורף בנספח ח' לתצהיר המתנגדת וכן עמוד 4 לחוות הדעת מיום 1.12.2015 – צורף בנספח יא לתצהיר המתנגדת). </w:t>
      </w:r>
    </w:p>
    <w:p w:rsidR="005D7C89" w:rsidRDefault="005D7C89" w:rsidP="005D7C89">
      <w:pPr>
        <w:pStyle w:val="ruller4"/>
        <w:shd w:val="clear" w:color="auto" w:fill="FFFFFF"/>
        <w:tabs>
          <w:tab w:val="left" w:pos="567"/>
        </w:tabs>
        <w:bidi/>
        <w:spacing w:before="0" w:beforeAutospacing="0" w:after="0" w:afterAutospacing="0" w:line="360" w:lineRule="auto"/>
        <w:ind w:left="567"/>
        <w:jc w:val="both"/>
        <w:rPr>
          <w:rFonts w:ascii="David" w:hAnsi="David" w:cs="David"/>
        </w:rPr>
      </w:pPr>
    </w:p>
    <w:p w:rsidR="00570148" w:rsidRDefault="00570148" w:rsidP="00447236">
      <w:pPr>
        <w:pStyle w:val="ruller4"/>
        <w:numPr>
          <w:ilvl w:val="0"/>
          <w:numId w:val="1"/>
        </w:numPr>
        <w:shd w:val="clear" w:color="auto" w:fill="FFFFFF"/>
        <w:tabs>
          <w:tab w:val="left" w:pos="567"/>
        </w:tabs>
        <w:bidi/>
        <w:spacing w:before="0" w:beforeAutospacing="0" w:after="0" w:afterAutospacing="0" w:line="360" w:lineRule="auto"/>
        <w:ind w:left="567" w:hanging="567"/>
        <w:jc w:val="both"/>
        <w:rPr>
          <w:rFonts w:ascii="David" w:hAnsi="David" w:cs="David"/>
        </w:rPr>
      </w:pPr>
      <w:r>
        <w:rPr>
          <w:rFonts w:ascii="David" w:hAnsi="David" w:cs="David"/>
          <w:rtl/>
        </w:rPr>
        <w:t xml:space="preserve"> </w:t>
      </w:r>
      <w:r>
        <w:rPr>
          <w:rFonts w:ascii="David" w:hAnsi="David" w:cs="David"/>
          <w:rtl/>
        </w:rPr>
        <w:tab/>
        <w:t>בשום שלב במהלך הליך האפוטרופסות, אף שמערכת היחסים שבין המנוח והמתנגדת נדונה לא אחת כאמור, המנוח לא ציין כי נישואיו למשיבה 1 הם פורמליים בלבד, אם כי הביע רצונו לשהות בביתו שב</w:t>
      </w:r>
      <w:r w:rsidR="00447236">
        <w:rPr>
          <w:rFonts w:ascii="David" w:hAnsi="David" w:cs="David" w:hint="cs"/>
          <w:rtl/>
        </w:rPr>
        <w:t>-מ'</w:t>
      </w:r>
      <w:r>
        <w:rPr>
          <w:rFonts w:ascii="David" w:hAnsi="David" w:cs="David"/>
          <w:rtl/>
        </w:rPr>
        <w:t xml:space="preserve"> לצד משפחתו בחלק מהזמן. ברי, כי ככל שהמנוח היה רואה את יחסיו עם המשיבה 1 כנישואים "על הנייר בלבד", הרי שהיה מדגיש זאת בפני בא כוחו / העו"ס לסדרי דין/ המומחה שמונה מטעם בית המשפט או בית המשפט עצמו, בפרט עת נדונה שאלה מינויה של המשיבה 1 כאפוטרופוס על ענייניו של המנוח. כלום לא היה מוצא המנוח לציין בפני מי מהגורמים שהיו מעורבים בהליך האפוטרופסות, כי אין בינו ובין המשיבה 1 דבר וחצי דבר וכי אין לו כל קשר ו/או זיקה אליו, זולת רישומה כאשתו? דומני כי התשובה לכך היא בשלילה.</w:t>
      </w:r>
    </w:p>
    <w:p w:rsidR="005D7C89" w:rsidRDefault="005D7C89" w:rsidP="005D7C89">
      <w:pPr>
        <w:pStyle w:val="ruller4"/>
        <w:shd w:val="clear" w:color="auto" w:fill="FFFFFF"/>
        <w:tabs>
          <w:tab w:val="left" w:pos="567"/>
        </w:tabs>
        <w:bidi/>
        <w:spacing w:before="0" w:beforeAutospacing="0" w:after="0" w:afterAutospacing="0" w:line="360" w:lineRule="auto"/>
        <w:ind w:left="567"/>
        <w:jc w:val="both"/>
        <w:rPr>
          <w:rFonts w:ascii="David" w:hAnsi="David" w:cs="David"/>
          <w:rtl/>
        </w:rPr>
      </w:pPr>
    </w:p>
    <w:p w:rsidR="00570148" w:rsidRDefault="00570148" w:rsidP="005D7C89">
      <w:pPr>
        <w:pStyle w:val="ruller4"/>
        <w:shd w:val="clear" w:color="auto" w:fill="FFFFFF"/>
        <w:tabs>
          <w:tab w:val="left" w:pos="567"/>
        </w:tabs>
        <w:bidi/>
        <w:spacing w:before="0" w:beforeAutospacing="0" w:after="0" w:afterAutospacing="0" w:line="360" w:lineRule="auto"/>
        <w:ind w:left="567"/>
        <w:jc w:val="both"/>
        <w:rPr>
          <w:rFonts w:ascii="David" w:hAnsi="David" w:cs="David"/>
          <w:rtl/>
        </w:rPr>
      </w:pPr>
      <w:r>
        <w:rPr>
          <w:rFonts w:ascii="David" w:hAnsi="David" w:cs="David"/>
          <w:rtl/>
        </w:rPr>
        <w:t>אדרבא, מחומר הראיות שהונח בפני עולה, כי על אף שהמנוח פירט במסגרת הליך האפוטרופסות על אודות האהבה השוררת בינו לבין המתנגדת, על מסירותה בטיפול בו ועמד על רצונו לשהות עמה בחלק מהזמן, הוא הקפיד להגדיר את המשיבה 1 כ"אשתו" ולעומת זאת את המתנגדת כ"בת זוגו"/ "מאהבת"/ "חברתו". המנוח הבהיר, כי ניהל "חיים כפולים" עם אישה "</w:t>
      </w:r>
      <w:r>
        <w:rPr>
          <w:rFonts w:ascii="David" w:hAnsi="David" w:cs="David"/>
          <w:b/>
          <w:bCs/>
          <w:rtl/>
        </w:rPr>
        <w:t>נוספת"/ "אחרת" –</w:t>
      </w:r>
      <w:r>
        <w:rPr>
          <w:rFonts w:ascii="David" w:hAnsi="David" w:cs="David"/>
          <w:rtl/>
        </w:rPr>
        <w:t xml:space="preserve"> פשוטו כמשמעו, וכפי שעולה מעדותו של עוה"ד מלכיאלי, המנוח אף היה מעוניין להוסיף ולהמשיך לנהל חיים כפולים (ר' עמ' 7, ש' 23-25 לפרוטוקול הדיון מיום 19.1.2023). דהיינו: המנוח עצמו לא ראה במתנגדת כבת זוגו הבלעדית, על כל המשתמע מכך.</w:t>
      </w:r>
    </w:p>
    <w:p w:rsidR="005D7C89" w:rsidRDefault="005D7C89" w:rsidP="005D7C89">
      <w:pPr>
        <w:pStyle w:val="ruller4"/>
        <w:shd w:val="clear" w:color="auto" w:fill="FFFFFF"/>
        <w:tabs>
          <w:tab w:val="left" w:pos="567"/>
        </w:tabs>
        <w:bidi/>
        <w:spacing w:before="0" w:beforeAutospacing="0" w:after="0" w:afterAutospacing="0" w:line="360" w:lineRule="auto"/>
        <w:ind w:left="567"/>
        <w:jc w:val="both"/>
        <w:rPr>
          <w:rFonts w:ascii="David" w:hAnsi="David" w:cs="David"/>
          <w:rtl/>
        </w:rPr>
      </w:pPr>
    </w:p>
    <w:p w:rsidR="00570148" w:rsidRDefault="00570148" w:rsidP="00F962E3">
      <w:pPr>
        <w:pStyle w:val="ad"/>
        <w:numPr>
          <w:ilvl w:val="0"/>
          <w:numId w:val="1"/>
        </w:numPr>
        <w:tabs>
          <w:tab w:val="left" w:pos="567"/>
        </w:tabs>
        <w:spacing w:after="0" w:line="360" w:lineRule="auto"/>
        <w:ind w:left="567" w:hanging="567"/>
        <w:contextualSpacing w:val="0"/>
        <w:jc w:val="both"/>
        <w:rPr>
          <w:rFonts w:ascii="David" w:eastAsia="Times New Roman" w:hAnsi="David" w:cs="David"/>
          <w:sz w:val="24"/>
          <w:szCs w:val="24"/>
        </w:rPr>
      </w:pPr>
      <w:r>
        <w:rPr>
          <w:rFonts w:ascii="David" w:hAnsi="David" w:cs="David"/>
          <w:sz w:val="24"/>
          <w:szCs w:val="24"/>
          <w:rtl/>
        </w:rPr>
        <w:t xml:space="preserve"> </w:t>
      </w:r>
      <w:r>
        <w:rPr>
          <w:rFonts w:ascii="David" w:hAnsi="David" w:cs="David"/>
          <w:sz w:val="24"/>
          <w:szCs w:val="24"/>
          <w:rtl/>
        </w:rPr>
        <w:tab/>
        <w:t>מסקנה דומה מתקבלת גם מהשיחה שנערכה בין המנוח והמתנגדת לבין עוה"ד ג</w:t>
      </w:r>
      <w:r w:rsidR="00F962E3">
        <w:rPr>
          <w:rFonts w:ascii="David" w:hAnsi="David" w:cs="David" w:hint="cs"/>
          <w:sz w:val="24"/>
          <w:szCs w:val="24"/>
          <w:rtl/>
        </w:rPr>
        <w:t>'</w:t>
      </w:r>
      <w:r>
        <w:rPr>
          <w:rFonts w:ascii="David" w:hAnsi="David" w:cs="David"/>
          <w:sz w:val="24"/>
          <w:szCs w:val="24"/>
          <w:rtl/>
        </w:rPr>
        <w:t xml:space="preserve"> </w:t>
      </w:r>
      <w:r>
        <w:rPr>
          <w:rFonts w:ascii="David" w:eastAsia="Times New Roman" w:hAnsi="David" w:cs="David"/>
          <w:sz w:val="24"/>
          <w:szCs w:val="24"/>
          <w:rtl/>
        </w:rPr>
        <w:t>(אשר נתנה למנוח שירותי ייעוץ משפטי), בגדרה ביקשו להיוועץ עמה ביחס ליחסיהם, כאשר עולה כי שניהם, הן המנוח והן המתנגדת, היו מודעים היטב לטיב יחסיהם ולא הגדירו עצמם כ"ידועים בציבור":</w:t>
      </w:r>
    </w:p>
    <w:p w:rsidR="00570148" w:rsidRDefault="00570148" w:rsidP="00E22F60">
      <w:pPr>
        <w:pStyle w:val="ad"/>
        <w:tabs>
          <w:tab w:val="left" w:pos="567"/>
        </w:tabs>
        <w:spacing w:after="0" w:line="360" w:lineRule="auto"/>
        <w:ind w:left="1134" w:right="567"/>
        <w:contextualSpacing w:val="0"/>
        <w:jc w:val="both"/>
        <w:rPr>
          <w:rFonts w:ascii="David" w:eastAsia="Times New Roman" w:hAnsi="David" w:cs="David"/>
          <w:sz w:val="24"/>
          <w:szCs w:val="24"/>
        </w:rPr>
      </w:pPr>
      <w:r>
        <w:rPr>
          <w:rFonts w:ascii="David" w:eastAsia="Times New Roman" w:hAnsi="David" w:cs="David"/>
          <w:sz w:val="24"/>
          <w:szCs w:val="24"/>
          <w:rtl/>
        </w:rPr>
        <w:t>"א</w:t>
      </w:r>
      <w:r w:rsidR="00E22F60">
        <w:rPr>
          <w:rFonts w:ascii="David" w:eastAsia="Times New Roman" w:hAnsi="David" w:cs="David" w:hint="cs"/>
          <w:sz w:val="24"/>
          <w:szCs w:val="24"/>
          <w:rtl/>
        </w:rPr>
        <w:t>'</w:t>
      </w:r>
      <w:r>
        <w:rPr>
          <w:rFonts w:ascii="David" w:eastAsia="Times New Roman" w:hAnsi="David" w:cs="David"/>
          <w:sz w:val="24"/>
          <w:szCs w:val="24"/>
          <w:rtl/>
        </w:rPr>
        <w:t>: "חתימה טובה. אני רוצה לקבל ממך ייעוץ בקשר ל</w:t>
      </w:r>
      <w:r w:rsidR="00E22F60">
        <w:rPr>
          <w:rFonts w:ascii="David" w:eastAsia="Times New Roman" w:hAnsi="David" w:cs="David" w:hint="cs"/>
          <w:sz w:val="24"/>
          <w:szCs w:val="24"/>
          <w:rtl/>
        </w:rPr>
        <w:t>-</w:t>
      </w:r>
      <w:r>
        <w:rPr>
          <w:rFonts w:ascii="David" w:eastAsia="Times New Roman" w:hAnsi="David" w:cs="David"/>
          <w:sz w:val="24"/>
          <w:szCs w:val="24"/>
          <w:rtl/>
        </w:rPr>
        <w:t>ה</w:t>
      </w:r>
      <w:r w:rsidR="00E22F60">
        <w:rPr>
          <w:rFonts w:ascii="David" w:eastAsia="Times New Roman" w:hAnsi="David" w:cs="David" w:hint="cs"/>
          <w:sz w:val="24"/>
          <w:szCs w:val="24"/>
          <w:rtl/>
        </w:rPr>
        <w:t>'</w:t>
      </w:r>
      <w:r>
        <w:rPr>
          <w:rFonts w:ascii="David" w:eastAsia="Times New Roman" w:hAnsi="David" w:cs="David"/>
          <w:sz w:val="24"/>
          <w:szCs w:val="24"/>
          <w:rtl/>
        </w:rPr>
        <w:t>. אני חי איתה 23 שנה.</w:t>
      </w:r>
    </w:p>
    <w:p w:rsidR="00570148" w:rsidRDefault="00570148" w:rsidP="00F962E3">
      <w:pPr>
        <w:pStyle w:val="ad"/>
        <w:tabs>
          <w:tab w:val="left" w:pos="567"/>
        </w:tabs>
        <w:spacing w:after="0" w:line="360" w:lineRule="auto"/>
        <w:ind w:left="1134" w:right="567"/>
        <w:contextualSpacing w:val="0"/>
        <w:jc w:val="both"/>
        <w:rPr>
          <w:rFonts w:ascii="David" w:eastAsia="Times New Roman" w:hAnsi="David" w:cs="David"/>
          <w:sz w:val="24"/>
          <w:szCs w:val="24"/>
          <w:rtl/>
        </w:rPr>
      </w:pPr>
      <w:r>
        <w:rPr>
          <w:rFonts w:ascii="David" w:eastAsia="Times New Roman" w:hAnsi="David" w:cs="David"/>
          <w:sz w:val="24"/>
          <w:szCs w:val="24"/>
          <w:rtl/>
        </w:rPr>
        <w:t>ג</w:t>
      </w:r>
      <w:r w:rsidR="00F962E3">
        <w:rPr>
          <w:rFonts w:ascii="David" w:eastAsia="Times New Roman" w:hAnsi="David" w:cs="David" w:hint="cs"/>
          <w:sz w:val="24"/>
          <w:szCs w:val="24"/>
          <w:rtl/>
        </w:rPr>
        <w:t>'</w:t>
      </w:r>
      <w:r>
        <w:rPr>
          <w:rFonts w:ascii="David" w:eastAsia="Times New Roman" w:hAnsi="David" w:cs="David"/>
          <w:sz w:val="24"/>
          <w:szCs w:val="24"/>
          <w:rtl/>
        </w:rPr>
        <w:t>: עם מי?</w:t>
      </w:r>
    </w:p>
    <w:p w:rsidR="00570148" w:rsidRDefault="00570148" w:rsidP="00E22F60">
      <w:pPr>
        <w:pStyle w:val="ad"/>
        <w:tabs>
          <w:tab w:val="left" w:pos="567"/>
        </w:tabs>
        <w:spacing w:after="0" w:line="360" w:lineRule="auto"/>
        <w:ind w:left="1134" w:right="567"/>
        <w:contextualSpacing w:val="0"/>
        <w:jc w:val="both"/>
        <w:rPr>
          <w:rFonts w:ascii="David" w:eastAsia="Times New Roman" w:hAnsi="David" w:cs="David"/>
          <w:sz w:val="24"/>
          <w:szCs w:val="24"/>
          <w:rtl/>
        </w:rPr>
      </w:pPr>
      <w:r>
        <w:rPr>
          <w:rFonts w:ascii="David" w:eastAsia="Times New Roman" w:hAnsi="David" w:cs="David"/>
          <w:sz w:val="24"/>
          <w:szCs w:val="24"/>
          <w:rtl/>
        </w:rPr>
        <w:t>א</w:t>
      </w:r>
      <w:r w:rsidR="00E22F60">
        <w:rPr>
          <w:rFonts w:ascii="David" w:eastAsia="Times New Roman" w:hAnsi="David" w:cs="David" w:hint="cs"/>
          <w:sz w:val="24"/>
          <w:szCs w:val="24"/>
          <w:rtl/>
        </w:rPr>
        <w:t>'</w:t>
      </w:r>
      <w:r>
        <w:rPr>
          <w:rFonts w:ascii="David" w:eastAsia="Times New Roman" w:hAnsi="David" w:cs="David"/>
          <w:sz w:val="24"/>
          <w:szCs w:val="24"/>
          <w:rtl/>
        </w:rPr>
        <w:t>: עם ה</w:t>
      </w:r>
      <w:r w:rsidR="00E22F60">
        <w:rPr>
          <w:rFonts w:ascii="David" w:eastAsia="Times New Roman" w:hAnsi="David" w:cs="David" w:hint="cs"/>
          <w:sz w:val="24"/>
          <w:szCs w:val="24"/>
          <w:rtl/>
        </w:rPr>
        <w:t>'</w:t>
      </w:r>
      <w:r>
        <w:rPr>
          <w:rFonts w:ascii="David" w:eastAsia="Times New Roman" w:hAnsi="David" w:cs="David"/>
          <w:sz w:val="24"/>
          <w:szCs w:val="24"/>
          <w:rtl/>
        </w:rPr>
        <w:t>. ו...</w:t>
      </w:r>
    </w:p>
    <w:p w:rsidR="00570148" w:rsidRDefault="00570148" w:rsidP="00F962E3">
      <w:pPr>
        <w:pStyle w:val="ad"/>
        <w:tabs>
          <w:tab w:val="left" w:pos="567"/>
        </w:tabs>
        <w:spacing w:after="0" w:line="360" w:lineRule="auto"/>
        <w:ind w:left="1134" w:right="567"/>
        <w:contextualSpacing w:val="0"/>
        <w:jc w:val="both"/>
        <w:rPr>
          <w:rFonts w:ascii="David" w:eastAsia="Times New Roman" w:hAnsi="David" w:cs="David"/>
          <w:sz w:val="24"/>
          <w:szCs w:val="24"/>
          <w:rtl/>
        </w:rPr>
      </w:pPr>
      <w:r>
        <w:rPr>
          <w:rFonts w:ascii="David" w:eastAsia="Times New Roman" w:hAnsi="David" w:cs="David"/>
          <w:sz w:val="24"/>
          <w:szCs w:val="24"/>
          <w:rtl/>
        </w:rPr>
        <w:t>ה</w:t>
      </w:r>
      <w:r w:rsidR="00E22F60">
        <w:rPr>
          <w:rFonts w:ascii="David" w:eastAsia="Times New Roman" w:hAnsi="David" w:cs="David" w:hint="cs"/>
          <w:sz w:val="24"/>
          <w:szCs w:val="24"/>
          <w:rtl/>
        </w:rPr>
        <w:t>'</w:t>
      </w:r>
      <w:r>
        <w:rPr>
          <w:rFonts w:ascii="David" w:eastAsia="Times New Roman" w:hAnsi="David" w:cs="David"/>
          <w:sz w:val="24"/>
          <w:szCs w:val="24"/>
          <w:rtl/>
        </w:rPr>
        <w:t xml:space="preserve">: </w:t>
      </w:r>
      <w:r w:rsidR="00F962E3">
        <w:rPr>
          <w:rFonts w:ascii="David" w:eastAsia="Times New Roman" w:hAnsi="David" w:cs="David" w:hint="cs"/>
          <w:sz w:val="24"/>
          <w:szCs w:val="24"/>
          <w:rtl/>
        </w:rPr>
        <w:t>ג'</w:t>
      </w:r>
      <w:r>
        <w:rPr>
          <w:rFonts w:ascii="David" w:eastAsia="Times New Roman" w:hAnsi="David" w:cs="David"/>
          <w:sz w:val="24"/>
          <w:szCs w:val="24"/>
          <w:rtl/>
        </w:rPr>
        <w:t>, אפשר לבוא אליך לייעוץ על ענייני משפחה גם?</w:t>
      </w:r>
    </w:p>
    <w:p w:rsidR="00570148" w:rsidRDefault="00570148" w:rsidP="00F962E3">
      <w:pPr>
        <w:pStyle w:val="ad"/>
        <w:tabs>
          <w:tab w:val="left" w:pos="567"/>
        </w:tabs>
        <w:spacing w:after="0" w:line="360" w:lineRule="auto"/>
        <w:ind w:left="1134" w:right="567"/>
        <w:contextualSpacing w:val="0"/>
        <w:jc w:val="both"/>
        <w:rPr>
          <w:rFonts w:ascii="David" w:eastAsia="Times New Roman" w:hAnsi="David" w:cs="David"/>
          <w:sz w:val="24"/>
          <w:szCs w:val="24"/>
          <w:rtl/>
        </w:rPr>
      </w:pPr>
      <w:r>
        <w:rPr>
          <w:rFonts w:ascii="David" w:eastAsia="Times New Roman" w:hAnsi="David" w:cs="David"/>
          <w:sz w:val="24"/>
          <w:szCs w:val="24"/>
          <w:rtl/>
        </w:rPr>
        <w:t>ג</w:t>
      </w:r>
      <w:r w:rsidR="00F962E3">
        <w:rPr>
          <w:rFonts w:ascii="David" w:eastAsia="Times New Roman" w:hAnsi="David" w:cs="David" w:hint="cs"/>
          <w:sz w:val="24"/>
          <w:szCs w:val="24"/>
          <w:rtl/>
        </w:rPr>
        <w:t>'</w:t>
      </w:r>
      <w:r>
        <w:rPr>
          <w:rFonts w:ascii="David" w:eastAsia="Times New Roman" w:hAnsi="David" w:cs="David"/>
          <w:sz w:val="24"/>
          <w:szCs w:val="24"/>
          <w:rtl/>
        </w:rPr>
        <w:t>: כן. כן</w:t>
      </w:r>
    </w:p>
    <w:p w:rsidR="00570148" w:rsidRDefault="00570148" w:rsidP="005D7C89">
      <w:pPr>
        <w:pStyle w:val="ad"/>
        <w:tabs>
          <w:tab w:val="left" w:pos="567"/>
        </w:tabs>
        <w:spacing w:after="0" w:line="360" w:lineRule="auto"/>
        <w:ind w:left="1134" w:right="567"/>
        <w:contextualSpacing w:val="0"/>
        <w:jc w:val="both"/>
        <w:rPr>
          <w:rFonts w:ascii="David" w:eastAsia="Times New Roman" w:hAnsi="David" w:cs="David"/>
          <w:sz w:val="24"/>
          <w:szCs w:val="24"/>
          <w:rtl/>
        </w:rPr>
      </w:pPr>
      <w:r>
        <w:rPr>
          <w:rFonts w:ascii="David" w:eastAsia="Times New Roman" w:hAnsi="David" w:cs="David"/>
          <w:sz w:val="24"/>
          <w:szCs w:val="24"/>
          <w:rtl/>
        </w:rPr>
        <w:t>[...]</w:t>
      </w:r>
    </w:p>
    <w:p w:rsidR="00570148" w:rsidRDefault="00F962E3" w:rsidP="005D7C89">
      <w:pPr>
        <w:pStyle w:val="ad"/>
        <w:tabs>
          <w:tab w:val="left" w:pos="567"/>
        </w:tabs>
        <w:spacing w:after="0" w:line="360" w:lineRule="auto"/>
        <w:ind w:left="1134" w:right="567"/>
        <w:contextualSpacing w:val="0"/>
        <w:jc w:val="both"/>
        <w:rPr>
          <w:rFonts w:ascii="David" w:eastAsia="Times New Roman" w:hAnsi="David" w:cs="David"/>
          <w:b/>
          <w:bCs/>
          <w:sz w:val="24"/>
          <w:szCs w:val="24"/>
          <w:rtl/>
        </w:rPr>
      </w:pPr>
      <w:r>
        <w:rPr>
          <w:rFonts w:ascii="David" w:eastAsia="Times New Roman" w:hAnsi="David" w:cs="David" w:hint="cs"/>
          <w:b/>
          <w:bCs/>
          <w:sz w:val="24"/>
          <w:szCs w:val="24"/>
          <w:rtl/>
        </w:rPr>
        <w:t>ג'</w:t>
      </w:r>
      <w:r w:rsidR="00570148">
        <w:rPr>
          <w:rFonts w:ascii="David" w:eastAsia="Times New Roman" w:hAnsi="David" w:cs="David"/>
          <w:b/>
          <w:bCs/>
          <w:sz w:val="24"/>
          <w:szCs w:val="24"/>
          <w:rtl/>
        </w:rPr>
        <w:t>: אתם בני זוג? ידועים בציבור?</w:t>
      </w:r>
    </w:p>
    <w:p w:rsidR="00570148" w:rsidRDefault="00570148" w:rsidP="00E22F60">
      <w:pPr>
        <w:pStyle w:val="ad"/>
        <w:tabs>
          <w:tab w:val="left" w:pos="567"/>
        </w:tabs>
        <w:spacing w:after="0" w:line="360" w:lineRule="auto"/>
        <w:ind w:left="1134" w:right="567"/>
        <w:contextualSpacing w:val="0"/>
        <w:jc w:val="both"/>
        <w:rPr>
          <w:rFonts w:ascii="David" w:eastAsia="Times New Roman" w:hAnsi="David" w:cs="David"/>
          <w:b/>
          <w:bCs/>
          <w:sz w:val="24"/>
          <w:szCs w:val="24"/>
          <w:rtl/>
        </w:rPr>
      </w:pPr>
      <w:r>
        <w:rPr>
          <w:rFonts w:ascii="David" w:eastAsia="Times New Roman" w:hAnsi="David" w:cs="David"/>
          <w:b/>
          <w:bCs/>
          <w:sz w:val="24"/>
          <w:szCs w:val="24"/>
          <w:rtl/>
        </w:rPr>
        <w:t>א</w:t>
      </w:r>
      <w:r w:rsidR="00E22F60">
        <w:rPr>
          <w:rFonts w:ascii="David" w:eastAsia="Times New Roman" w:hAnsi="David" w:cs="David" w:hint="cs"/>
          <w:b/>
          <w:bCs/>
          <w:sz w:val="24"/>
          <w:szCs w:val="24"/>
          <w:rtl/>
        </w:rPr>
        <w:t>'</w:t>
      </w:r>
      <w:r>
        <w:rPr>
          <w:rFonts w:ascii="David" w:eastAsia="Times New Roman" w:hAnsi="David" w:cs="David"/>
          <w:b/>
          <w:bCs/>
          <w:sz w:val="24"/>
          <w:szCs w:val="24"/>
          <w:rtl/>
        </w:rPr>
        <w:t>: אנחנו לא בני זוג, אנחנו מ...היא המאהבת שלי</w:t>
      </w:r>
    </w:p>
    <w:p w:rsidR="00570148" w:rsidRDefault="00F962E3" w:rsidP="005D7C89">
      <w:pPr>
        <w:pStyle w:val="ad"/>
        <w:tabs>
          <w:tab w:val="left" w:pos="567"/>
        </w:tabs>
        <w:spacing w:after="0" w:line="360" w:lineRule="auto"/>
        <w:ind w:left="1134" w:right="567"/>
        <w:contextualSpacing w:val="0"/>
        <w:jc w:val="both"/>
        <w:rPr>
          <w:rFonts w:ascii="David" w:eastAsia="Times New Roman" w:hAnsi="David" w:cs="David"/>
          <w:sz w:val="24"/>
          <w:szCs w:val="24"/>
          <w:rtl/>
        </w:rPr>
      </w:pPr>
      <w:r>
        <w:rPr>
          <w:rFonts w:ascii="David" w:eastAsia="Times New Roman" w:hAnsi="David" w:cs="David" w:hint="cs"/>
          <w:sz w:val="24"/>
          <w:szCs w:val="24"/>
          <w:rtl/>
        </w:rPr>
        <w:t>ג'</w:t>
      </w:r>
      <w:r w:rsidR="00570148">
        <w:rPr>
          <w:rFonts w:ascii="David" w:eastAsia="Times New Roman" w:hAnsi="David" w:cs="David"/>
          <w:sz w:val="24"/>
          <w:szCs w:val="24"/>
          <w:rtl/>
        </w:rPr>
        <w:t>: אוקיי</w:t>
      </w:r>
    </w:p>
    <w:p w:rsidR="00570148" w:rsidRDefault="00570148" w:rsidP="00E22F60">
      <w:pPr>
        <w:pStyle w:val="ad"/>
        <w:tabs>
          <w:tab w:val="left" w:pos="567"/>
        </w:tabs>
        <w:spacing w:after="0" w:line="360" w:lineRule="auto"/>
        <w:ind w:left="1134" w:right="567"/>
        <w:contextualSpacing w:val="0"/>
        <w:jc w:val="both"/>
        <w:rPr>
          <w:rFonts w:ascii="David" w:eastAsia="Times New Roman" w:hAnsi="David" w:cs="David"/>
          <w:sz w:val="24"/>
          <w:szCs w:val="24"/>
          <w:rtl/>
        </w:rPr>
      </w:pPr>
      <w:r>
        <w:rPr>
          <w:rFonts w:ascii="David" w:eastAsia="Times New Roman" w:hAnsi="David" w:cs="David"/>
          <w:sz w:val="24"/>
          <w:szCs w:val="24"/>
          <w:rtl/>
        </w:rPr>
        <w:t>א</w:t>
      </w:r>
      <w:r w:rsidR="00E22F60">
        <w:rPr>
          <w:rFonts w:ascii="David" w:eastAsia="Times New Roman" w:hAnsi="David" w:cs="David" w:hint="cs"/>
          <w:sz w:val="24"/>
          <w:szCs w:val="24"/>
          <w:rtl/>
        </w:rPr>
        <w:t>'</w:t>
      </w:r>
      <w:r>
        <w:rPr>
          <w:rFonts w:ascii="David" w:eastAsia="Times New Roman" w:hAnsi="David" w:cs="David"/>
          <w:sz w:val="24"/>
          <w:szCs w:val="24"/>
          <w:rtl/>
        </w:rPr>
        <w:t>: לא הרגשת בזה עד היום?</w:t>
      </w:r>
    </w:p>
    <w:p w:rsidR="00570148" w:rsidRDefault="00F962E3" w:rsidP="005D7C89">
      <w:pPr>
        <w:pStyle w:val="ad"/>
        <w:tabs>
          <w:tab w:val="left" w:pos="567"/>
        </w:tabs>
        <w:spacing w:after="0" w:line="360" w:lineRule="auto"/>
        <w:ind w:left="1134" w:right="567"/>
        <w:contextualSpacing w:val="0"/>
        <w:jc w:val="both"/>
        <w:rPr>
          <w:rFonts w:ascii="David" w:eastAsia="Times New Roman" w:hAnsi="David" w:cs="David"/>
          <w:sz w:val="24"/>
          <w:szCs w:val="24"/>
          <w:rtl/>
        </w:rPr>
      </w:pPr>
      <w:r>
        <w:rPr>
          <w:rFonts w:ascii="David" w:eastAsia="Times New Roman" w:hAnsi="David" w:cs="David" w:hint="cs"/>
          <w:sz w:val="24"/>
          <w:szCs w:val="24"/>
          <w:rtl/>
        </w:rPr>
        <w:t>ג'</w:t>
      </w:r>
      <w:r w:rsidR="00570148">
        <w:rPr>
          <w:rFonts w:ascii="David" w:eastAsia="Times New Roman" w:hAnsi="David" w:cs="David"/>
          <w:sz w:val="24"/>
          <w:szCs w:val="24"/>
          <w:rtl/>
        </w:rPr>
        <w:t>: ומה אתם רוצים? על מה אתם רוצים להתייעץ?</w:t>
      </w:r>
    </w:p>
    <w:p w:rsidR="00570148" w:rsidRDefault="00570148" w:rsidP="00E22F60">
      <w:pPr>
        <w:pStyle w:val="ad"/>
        <w:tabs>
          <w:tab w:val="left" w:pos="567"/>
        </w:tabs>
        <w:spacing w:after="0" w:line="360" w:lineRule="auto"/>
        <w:ind w:left="1134" w:right="567"/>
        <w:contextualSpacing w:val="0"/>
        <w:jc w:val="both"/>
        <w:rPr>
          <w:rFonts w:ascii="David" w:eastAsia="Times New Roman" w:hAnsi="David" w:cs="David"/>
          <w:sz w:val="24"/>
          <w:szCs w:val="24"/>
          <w:rtl/>
        </w:rPr>
      </w:pPr>
      <w:r>
        <w:rPr>
          <w:rFonts w:ascii="David" w:eastAsia="Times New Roman" w:hAnsi="David" w:cs="David"/>
          <w:sz w:val="24"/>
          <w:szCs w:val="24"/>
          <w:rtl/>
        </w:rPr>
        <w:t>א</w:t>
      </w:r>
      <w:r w:rsidR="00E22F60">
        <w:rPr>
          <w:rFonts w:ascii="David" w:eastAsia="Times New Roman" w:hAnsi="David" w:cs="David" w:hint="cs"/>
          <w:sz w:val="24"/>
          <w:szCs w:val="24"/>
          <w:rtl/>
        </w:rPr>
        <w:t>'</w:t>
      </w:r>
      <w:r>
        <w:rPr>
          <w:rFonts w:ascii="David" w:eastAsia="Times New Roman" w:hAnsi="David" w:cs="David"/>
          <w:sz w:val="24"/>
          <w:szCs w:val="24"/>
          <w:rtl/>
        </w:rPr>
        <w:t>: היא פוחדת שייקחו ממנה את כל הרכוש.</w:t>
      </w:r>
    </w:p>
    <w:p w:rsidR="00570148" w:rsidRDefault="00F962E3" w:rsidP="005D7C89">
      <w:pPr>
        <w:pStyle w:val="ad"/>
        <w:tabs>
          <w:tab w:val="left" w:pos="567"/>
        </w:tabs>
        <w:spacing w:after="0" w:line="360" w:lineRule="auto"/>
        <w:ind w:left="1134" w:right="567"/>
        <w:contextualSpacing w:val="0"/>
        <w:jc w:val="both"/>
        <w:rPr>
          <w:rFonts w:ascii="David" w:eastAsia="Times New Roman" w:hAnsi="David" w:cs="David"/>
          <w:sz w:val="24"/>
          <w:szCs w:val="24"/>
          <w:rtl/>
        </w:rPr>
      </w:pPr>
      <w:r>
        <w:rPr>
          <w:rFonts w:ascii="David" w:eastAsia="Times New Roman" w:hAnsi="David" w:cs="David" w:hint="cs"/>
          <w:sz w:val="24"/>
          <w:szCs w:val="24"/>
          <w:rtl/>
        </w:rPr>
        <w:t>ג'</w:t>
      </w:r>
      <w:r w:rsidR="00570148">
        <w:rPr>
          <w:rFonts w:ascii="David" w:eastAsia="Times New Roman" w:hAnsi="David" w:cs="David"/>
          <w:sz w:val="24"/>
          <w:szCs w:val="24"/>
          <w:rtl/>
        </w:rPr>
        <w:t>: מי ייקח?</w:t>
      </w:r>
    </w:p>
    <w:p w:rsidR="00570148" w:rsidRDefault="00570148" w:rsidP="00E22F60">
      <w:pPr>
        <w:pStyle w:val="ad"/>
        <w:tabs>
          <w:tab w:val="left" w:pos="567"/>
        </w:tabs>
        <w:spacing w:after="0" w:line="360" w:lineRule="auto"/>
        <w:ind w:left="1134" w:right="567"/>
        <w:contextualSpacing w:val="0"/>
        <w:jc w:val="both"/>
        <w:rPr>
          <w:rFonts w:ascii="David" w:eastAsia="Times New Roman" w:hAnsi="David" w:cs="David"/>
          <w:sz w:val="24"/>
          <w:szCs w:val="24"/>
          <w:rtl/>
        </w:rPr>
      </w:pPr>
      <w:r>
        <w:rPr>
          <w:rFonts w:ascii="David" w:eastAsia="Times New Roman" w:hAnsi="David" w:cs="David"/>
          <w:sz w:val="24"/>
          <w:szCs w:val="24"/>
          <w:rtl/>
        </w:rPr>
        <w:t>א</w:t>
      </w:r>
      <w:r w:rsidR="00E22F60">
        <w:rPr>
          <w:rFonts w:ascii="David" w:eastAsia="Times New Roman" w:hAnsi="David" w:cs="David" w:hint="cs"/>
          <w:sz w:val="24"/>
          <w:szCs w:val="24"/>
          <w:rtl/>
        </w:rPr>
        <w:t>'</w:t>
      </w:r>
      <w:r>
        <w:rPr>
          <w:rFonts w:ascii="David" w:eastAsia="Times New Roman" w:hAnsi="David" w:cs="David"/>
          <w:sz w:val="24"/>
          <w:szCs w:val="24"/>
          <w:rtl/>
        </w:rPr>
        <w:t>: שהמשפחה שלי תיקח ממנה את כל הרכוש</w:t>
      </w:r>
    </w:p>
    <w:p w:rsidR="00570148" w:rsidRDefault="00570148" w:rsidP="00E22F60">
      <w:pPr>
        <w:pStyle w:val="ad"/>
        <w:tabs>
          <w:tab w:val="left" w:pos="567"/>
        </w:tabs>
        <w:spacing w:after="0" w:line="360" w:lineRule="auto"/>
        <w:ind w:left="1134" w:right="567"/>
        <w:contextualSpacing w:val="0"/>
        <w:jc w:val="both"/>
        <w:rPr>
          <w:rFonts w:ascii="David" w:eastAsia="Times New Roman" w:hAnsi="David" w:cs="David"/>
          <w:sz w:val="24"/>
          <w:szCs w:val="24"/>
          <w:rtl/>
        </w:rPr>
      </w:pPr>
      <w:r>
        <w:rPr>
          <w:rFonts w:ascii="David" w:eastAsia="Times New Roman" w:hAnsi="David" w:cs="David"/>
          <w:sz w:val="24"/>
          <w:szCs w:val="24"/>
          <w:rtl/>
        </w:rPr>
        <w:t>ה</w:t>
      </w:r>
      <w:r w:rsidR="00E22F60">
        <w:rPr>
          <w:rFonts w:ascii="David" w:eastAsia="Times New Roman" w:hAnsi="David" w:cs="David" w:hint="cs"/>
          <w:sz w:val="24"/>
          <w:szCs w:val="24"/>
          <w:rtl/>
        </w:rPr>
        <w:t>'</w:t>
      </w:r>
      <w:r>
        <w:rPr>
          <w:rFonts w:ascii="David" w:eastAsia="Times New Roman" w:hAnsi="David" w:cs="David"/>
          <w:sz w:val="24"/>
          <w:szCs w:val="24"/>
          <w:rtl/>
        </w:rPr>
        <w:t>: אם ל</w:t>
      </w:r>
      <w:r w:rsidR="00E22F60">
        <w:rPr>
          <w:rFonts w:ascii="David" w:eastAsia="Times New Roman" w:hAnsi="David" w:cs="David" w:hint="cs"/>
          <w:sz w:val="24"/>
          <w:szCs w:val="24"/>
          <w:rtl/>
        </w:rPr>
        <w:t>-א'</w:t>
      </w:r>
      <w:r>
        <w:rPr>
          <w:rFonts w:ascii="David" w:eastAsia="Times New Roman" w:hAnsi="David" w:cs="David"/>
          <w:sz w:val="24"/>
          <w:szCs w:val="24"/>
          <w:rtl/>
        </w:rPr>
        <w:t xml:space="preserve"> חס וחלילה קורה משהו, הם יכולים לתבוע אותי. סיפרו לי על מקרה כזה, חברים, שהם יכולים לתבוע את כל מה ש</w:t>
      </w:r>
      <w:r w:rsidR="00E22F60">
        <w:rPr>
          <w:rFonts w:ascii="David" w:eastAsia="Times New Roman" w:hAnsi="David" w:cs="David" w:hint="cs"/>
          <w:sz w:val="24"/>
          <w:szCs w:val="24"/>
          <w:rtl/>
        </w:rPr>
        <w:t>-</w:t>
      </w:r>
      <w:r>
        <w:rPr>
          <w:rFonts w:ascii="David" w:eastAsia="Times New Roman" w:hAnsi="David" w:cs="David"/>
          <w:sz w:val="24"/>
          <w:szCs w:val="24"/>
          <w:rtl/>
        </w:rPr>
        <w:t>א</w:t>
      </w:r>
      <w:r w:rsidR="00E22F60">
        <w:rPr>
          <w:rFonts w:ascii="David" w:eastAsia="Times New Roman" w:hAnsi="David" w:cs="David" w:hint="cs"/>
          <w:sz w:val="24"/>
          <w:szCs w:val="24"/>
          <w:rtl/>
        </w:rPr>
        <w:t>'</w:t>
      </w:r>
      <w:r>
        <w:rPr>
          <w:rFonts w:ascii="David" w:eastAsia="Times New Roman" w:hAnsi="David" w:cs="David"/>
          <w:sz w:val="24"/>
          <w:szCs w:val="24"/>
          <w:rtl/>
        </w:rPr>
        <w:t xml:space="preserve"> נתן לי במשך שנים האלה.</w:t>
      </w:r>
    </w:p>
    <w:p w:rsidR="00570148" w:rsidRDefault="00F962E3" w:rsidP="005D7C89">
      <w:pPr>
        <w:pStyle w:val="ad"/>
        <w:tabs>
          <w:tab w:val="left" w:pos="567"/>
        </w:tabs>
        <w:spacing w:after="0" w:line="360" w:lineRule="auto"/>
        <w:ind w:left="1134" w:right="567"/>
        <w:contextualSpacing w:val="0"/>
        <w:jc w:val="both"/>
        <w:rPr>
          <w:rFonts w:ascii="David" w:eastAsia="Times New Roman" w:hAnsi="David" w:cs="David"/>
          <w:sz w:val="24"/>
          <w:szCs w:val="24"/>
          <w:rtl/>
        </w:rPr>
      </w:pPr>
      <w:r>
        <w:rPr>
          <w:rFonts w:ascii="David" w:eastAsia="Times New Roman" w:hAnsi="David" w:cs="David" w:hint="cs"/>
          <w:sz w:val="24"/>
          <w:szCs w:val="24"/>
          <w:rtl/>
        </w:rPr>
        <w:t>ג'</w:t>
      </w:r>
      <w:r w:rsidR="00570148">
        <w:rPr>
          <w:rFonts w:ascii="David" w:eastAsia="Times New Roman" w:hAnsi="David" w:cs="David"/>
          <w:sz w:val="24"/>
          <w:szCs w:val="24"/>
          <w:rtl/>
        </w:rPr>
        <w:t>: הבנתי. אז זה קצת יותר מורכב, זה לא לטלפון. זה לא לטלפון.</w:t>
      </w:r>
    </w:p>
    <w:p w:rsidR="00570148" w:rsidRDefault="00570148" w:rsidP="00E22F60">
      <w:pPr>
        <w:pStyle w:val="ad"/>
        <w:tabs>
          <w:tab w:val="left" w:pos="567"/>
        </w:tabs>
        <w:spacing w:after="0" w:line="360" w:lineRule="auto"/>
        <w:ind w:left="1134" w:right="567"/>
        <w:contextualSpacing w:val="0"/>
        <w:jc w:val="both"/>
        <w:rPr>
          <w:rFonts w:ascii="David" w:eastAsia="Times New Roman" w:hAnsi="David" w:cs="David"/>
          <w:sz w:val="24"/>
          <w:szCs w:val="24"/>
          <w:rtl/>
        </w:rPr>
      </w:pPr>
      <w:r>
        <w:rPr>
          <w:rFonts w:ascii="David" w:eastAsia="Times New Roman" w:hAnsi="David" w:cs="David"/>
          <w:sz w:val="24"/>
          <w:szCs w:val="24"/>
          <w:rtl/>
        </w:rPr>
        <w:t>ה</w:t>
      </w:r>
      <w:r w:rsidR="00E22F60">
        <w:rPr>
          <w:rFonts w:ascii="David" w:eastAsia="Times New Roman" w:hAnsi="David" w:cs="David" w:hint="cs"/>
          <w:sz w:val="24"/>
          <w:szCs w:val="24"/>
          <w:rtl/>
        </w:rPr>
        <w:t>'</w:t>
      </w:r>
      <w:r>
        <w:rPr>
          <w:rFonts w:ascii="David" w:eastAsia="Times New Roman" w:hAnsi="David" w:cs="David"/>
          <w:sz w:val="24"/>
          <w:szCs w:val="24"/>
          <w:rtl/>
        </w:rPr>
        <w:t>: כן, כן, ברור." (ר' תמלול השיחה בנספח 5 לתצהיר המשיבה 2; ההדגשה נוספה – ש.כ).</w:t>
      </w:r>
    </w:p>
    <w:p w:rsidR="00570148" w:rsidRDefault="00570148" w:rsidP="00F962E3">
      <w:pPr>
        <w:pStyle w:val="ad"/>
        <w:tabs>
          <w:tab w:val="left" w:pos="567"/>
        </w:tabs>
        <w:spacing w:after="0" w:line="360" w:lineRule="auto"/>
        <w:ind w:left="567"/>
        <w:contextualSpacing w:val="0"/>
        <w:jc w:val="both"/>
        <w:rPr>
          <w:rFonts w:ascii="David" w:eastAsia="Times New Roman" w:hAnsi="David" w:cs="David"/>
          <w:sz w:val="24"/>
          <w:szCs w:val="24"/>
          <w:rtl/>
        </w:rPr>
      </w:pPr>
      <w:r>
        <w:rPr>
          <w:rFonts w:ascii="David" w:eastAsia="Times New Roman" w:hAnsi="David" w:cs="David"/>
          <w:sz w:val="24"/>
          <w:szCs w:val="24"/>
          <w:rtl/>
        </w:rPr>
        <w:t>בהקשר זה יצוין, כי המתנגדת טענה כי תמלול השיחה הוגש באופן חלקי בלבד, שלא כדין ואין ליתן לו כל משקל (ר' סעיפים 34-33 לסיכומים). אעפ"כ לא עתרה המתנגדת לקבלת ההקלטה במלואה ולא ביקשה זימונה של עוה"ד ג</w:t>
      </w:r>
      <w:r w:rsidR="00F962E3">
        <w:rPr>
          <w:rFonts w:ascii="David" w:eastAsia="Times New Roman" w:hAnsi="David" w:cs="David" w:hint="cs"/>
          <w:sz w:val="24"/>
          <w:szCs w:val="24"/>
          <w:rtl/>
        </w:rPr>
        <w:t>'</w:t>
      </w:r>
      <w:r>
        <w:rPr>
          <w:rFonts w:ascii="David" w:eastAsia="Times New Roman" w:hAnsi="David" w:cs="David"/>
          <w:sz w:val="24"/>
          <w:szCs w:val="24"/>
          <w:rtl/>
        </w:rPr>
        <w:t xml:space="preserve"> לעדות, על מנת ללמוד מה היה בפגישה העוקבת לשיחה, ככל שהתקיימה פגישה כאמור. המתנגדת אף לא הכחישה עצם קיומה של השיחה ותוכנה, ולא הציגה גרסה לסתור.</w:t>
      </w:r>
      <w:r w:rsidR="005D7C89">
        <w:rPr>
          <w:rFonts w:ascii="David" w:eastAsia="Times New Roman" w:hAnsi="David" w:cs="David" w:hint="cs"/>
          <w:sz w:val="24"/>
          <w:szCs w:val="24"/>
          <w:rtl/>
        </w:rPr>
        <w:t xml:space="preserve"> </w:t>
      </w:r>
      <w:r>
        <w:rPr>
          <w:rFonts w:ascii="David" w:eastAsia="Times New Roman" w:hAnsi="David" w:cs="David"/>
          <w:sz w:val="24"/>
          <w:szCs w:val="24"/>
          <w:rtl/>
        </w:rPr>
        <w:t xml:space="preserve">מכל מקום, ראייה זו אינה עומדת לבדה, אלא מצטרפת לראיות נוספות שהוצגו לפני. </w:t>
      </w:r>
    </w:p>
    <w:p w:rsidR="005D7C89" w:rsidRDefault="005D7C89" w:rsidP="005D7C89">
      <w:pPr>
        <w:pStyle w:val="ad"/>
        <w:tabs>
          <w:tab w:val="left" w:pos="567"/>
        </w:tabs>
        <w:spacing w:after="0" w:line="360" w:lineRule="auto"/>
        <w:ind w:left="567"/>
        <w:contextualSpacing w:val="0"/>
        <w:jc w:val="both"/>
        <w:rPr>
          <w:rFonts w:ascii="David" w:eastAsia="Times New Roman" w:hAnsi="David" w:cs="David"/>
          <w:sz w:val="24"/>
          <w:szCs w:val="24"/>
          <w:rtl/>
        </w:rPr>
      </w:pPr>
    </w:p>
    <w:p w:rsidR="00570148" w:rsidRDefault="00570148" w:rsidP="005D7C89">
      <w:pPr>
        <w:pStyle w:val="ruller4"/>
        <w:numPr>
          <w:ilvl w:val="0"/>
          <w:numId w:val="1"/>
        </w:numPr>
        <w:shd w:val="clear" w:color="auto" w:fill="FFFFFF"/>
        <w:tabs>
          <w:tab w:val="left" w:pos="567"/>
        </w:tabs>
        <w:bidi/>
        <w:spacing w:before="0" w:beforeAutospacing="0" w:after="0" w:afterAutospacing="0" w:line="360" w:lineRule="auto"/>
        <w:ind w:left="567" w:hanging="567"/>
        <w:jc w:val="both"/>
        <w:rPr>
          <w:rFonts w:ascii="David" w:hAnsi="David" w:cs="David"/>
        </w:rPr>
      </w:pPr>
      <w:r>
        <w:rPr>
          <w:rFonts w:ascii="David" w:hAnsi="David" w:cs="David"/>
          <w:rtl/>
        </w:rPr>
        <w:t xml:space="preserve"> </w:t>
      </w:r>
      <w:r>
        <w:rPr>
          <w:rFonts w:ascii="David" w:hAnsi="David" w:cs="David" w:hint="cs"/>
          <w:rtl/>
        </w:rPr>
        <w:tab/>
        <w:t>אין חולק, כי המנוח לא נקט בכל מהלך לקראת גירושין ו/או ניתוק הקשר ו/או פירוד מהמשיבה 1, וכפי שעולה מהראיות שהונחו לפניי, המנוח גם לא היה מעוניין לעשות כן. המתנגדת והעדים מטעמה אף העידו, כי המנוח החליט שלא להיפרד מאשתו, המשיבה 1, לטענתם, בשל חשש שתיפגע או תפגע בעצמה עקב פרידתם. ר' למשל, עדות בנה של המתנגדת כי "הוא (המנוח, ש.כ.)</w:t>
      </w:r>
      <w:r>
        <w:rPr>
          <w:rFonts w:ascii="David" w:hAnsi="David" w:cs="David"/>
        </w:rPr>
        <w:t xml:space="preserve"> </w:t>
      </w:r>
      <w:r>
        <w:rPr>
          <w:rFonts w:ascii="David" w:hAnsi="David" w:cs="David"/>
          <w:rtl/>
        </w:rPr>
        <w:t xml:space="preserve">אמר שהוא חשב לעזוב והייתה סיטואציה שהוא פחד שמשהו יקרה </w:t>
      </w:r>
      <w:r>
        <w:rPr>
          <w:rFonts w:ascii="David" w:hAnsi="David" w:cs="David"/>
          <w:b/>
          <w:bCs/>
          <w:rtl/>
        </w:rPr>
        <w:t>אז הוא החליט לא לעזוב. זהו. הוא החליט ככה</w:t>
      </w:r>
      <w:r>
        <w:rPr>
          <w:rFonts w:ascii="David" w:hAnsi="David" w:cs="David"/>
          <w:rtl/>
        </w:rPr>
        <w:t>" (ר' עמ' 19, ש' 17-18 לפרוטוקול הדיון מיום 19.1.2023); וראה גם עדותה של חברתה של המתנגדת, כי המנוח בחר לא לעזוב את משפחתו "באופן רשמי" מסיבות השמורות לו. (עמ' 33 ש' 6- 13 לפרוטוקול מיום 19.1.23).</w:t>
      </w:r>
    </w:p>
    <w:p w:rsidR="005D7C89" w:rsidRDefault="005D7C89" w:rsidP="005D7C89">
      <w:pPr>
        <w:pStyle w:val="ruller4"/>
        <w:shd w:val="clear" w:color="auto" w:fill="FFFFFF"/>
        <w:tabs>
          <w:tab w:val="left" w:pos="567"/>
        </w:tabs>
        <w:bidi/>
        <w:spacing w:before="0" w:beforeAutospacing="0" w:after="0" w:afterAutospacing="0" w:line="360" w:lineRule="auto"/>
        <w:ind w:left="567"/>
        <w:jc w:val="both"/>
        <w:rPr>
          <w:rFonts w:ascii="David" w:hAnsi="David" w:cs="David"/>
          <w:b/>
          <w:bCs/>
          <w:rtl/>
        </w:rPr>
      </w:pPr>
    </w:p>
    <w:p w:rsidR="00570148" w:rsidRDefault="00570148" w:rsidP="005D7C89">
      <w:pPr>
        <w:pStyle w:val="ruller4"/>
        <w:shd w:val="clear" w:color="auto" w:fill="FFFFFF"/>
        <w:tabs>
          <w:tab w:val="left" w:pos="567"/>
        </w:tabs>
        <w:bidi/>
        <w:spacing w:before="0" w:beforeAutospacing="0" w:after="0" w:afterAutospacing="0" w:line="360" w:lineRule="auto"/>
        <w:ind w:left="567"/>
        <w:jc w:val="both"/>
        <w:rPr>
          <w:rFonts w:ascii="David" w:hAnsi="David" w:cs="David"/>
          <w:b/>
          <w:bCs/>
          <w:rtl/>
        </w:rPr>
      </w:pPr>
      <w:r>
        <w:rPr>
          <w:rFonts w:ascii="David" w:hAnsi="David" w:cs="David"/>
          <w:b/>
          <w:bCs/>
          <w:rtl/>
        </w:rPr>
        <w:t xml:space="preserve">בין כך ובין אחרת, העובדה, שאין עליה עוררין, </w:t>
      </w:r>
      <w:r>
        <w:rPr>
          <w:rFonts w:ascii="David" w:hAnsi="David" w:cs="David"/>
          <w:b/>
          <w:bCs/>
          <w:u w:val="single"/>
          <w:rtl/>
        </w:rPr>
        <w:t>שהמנוח בחר מרצון ובמודע</w:t>
      </w:r>
      <w:r>
        <w:rPr>
          <w:rFonts w:ascii="David" w:hAnsi="David" w:cs="David"/>
          <w:b/>
          <w:bCs/>
          <w:rtl/>
        </w:rPr>
        <w:t xml:space="preserve">, משיקוליו שלו, שלא להיפרד מהמשיבה 1, מוכיחה גם היא, כי נישואיו למשיבה 1 לא היו 'פורמליים' גרידא ו/או "על הנייר" בלבד. </w:t>
      </w:r>
    </w:p>
    <w:p w:rsidR="005D7C89" w:rsidRDefault="005D7C89" w:rsidP="005D7C89">
      <w:pPr>
        <w:pStyle w:val="ruller4"/>
        <w:shd w:val="clear" w:color="auto" w:fill="FFFFFF"/>
        <w:tabs>
          <w:tab w:val="left" w:pos="567"/>
        </w:tabs>
        <w:bidi/>
        <w:spacing w:before="0" w:beforeAutospacing="0" w:after="0" w:afterAutospacing="0" w:line="360" w:lineRule="auto"/>
        <w:ind w:left="567"/>
        <w:jc w:val="both"/>
        <w:rPr>
          <w:rFonts w:ascii="David" w:hAnsi="David" w:cs="David"/>
          <w:b/>
          <w:bCs/>
          <w:rtl/>
        </w:rPr>
      </w:pPr>
    </w:p>
    <w:p w:rsidR="00570148" w:rsidRDefault="00570148" w:rsidP="005D7C89">
      <w:pPr>
        <w:pStyle w:val="ruller4"/>
        <w:numPr>
          <w:ilvl w:val="0"/>
          <w:numId w:val="1"/>
        </w:numPr>
        <w:shd w:val="clear" w:color="auto" w:fill="FFFFFF"/>
        <w:tabs>
          <w:tab w:val="left" w:pos="567"/>
        </w:tabs>
        <w:bidi/>
        <w:spacing w:before="0" w:beforeAutospacing="0" w:after="0" w:afterAutospacing="0" w:line="360" w:lineRule="auto"/>
        <w:ind w:left="567" w:hanging="567"/>
        <w:jc w:val="both"/>
        <w:rPr>
          <w:rFonts w:ascii="David" w:hAnsi="David" w:cs="David"/>
        </w:rPr>
      </w:pPr>
      <w:r>
        <w:rPr>
          <w:rFonts w:ascii="David" w:hAnsi="David" w:cs="David"/>
          <w:rtl/>
        </w:rPr>
        <w:t xml:space="preserve"> </w:t>
      </w:r>
      <w:r>
        <w:rPr>
          <w:rFonts w:ascii="David" w:hAnsi="David" w:cs="David"/>
          <w:rtl/>
        </w:rPr>
        <w:tab/>
        <w:t>המשיבה 1 הצהירה בתצהיר מטעמה, כי היא והמנוח מעולם לא נפרדו ומעולם לא היו להם בעיות בזוגיות, כי תמיד התגוררו באותו הבית וישנו באותה המיטה, פרט לימים בודדים בהם המנוח נעדר לצורכי עבודה, מילואים וכו' (ר' סעיף 3 לתצהיר מטעמה). עוד הצהירה, כי לה ולמנוח היה חשבון משותף, אליו הופקדו המשכורות של שניהם וממנו שולמו הוצאות המשפחה (סעיף 10 לתצהיר). כמו כן, הדירות שרכשו המנוח והמשיבה 1 לאורך השנים היו משותפות וגם בית המגורים בו היא מתגוררת עד היום, לרבות המשכנתא שנטלו במשותף.</w:t>
      </w:r>
    </w:p>
    <w:p w:rsidR="005D7C89" w:rsidRDefault="005D7C89" w:rsidP="005D7C89">
      <w:pPr>
        <w:pStyle w:val="ruller4"/>
        <w:shd w:val="clear" w:color="auto" w:fill="FFFFFF"/>
        <w:tabs>
          <w:tab w:val="left" w:pos="567"/>
        </w:tabs>
        <w:bidi/>
        <w:spacing w:before="0" w:beforeAutospacing="0" w:after="0" w:afterAutospacing="0" w:line="360" w:lineRule="auto"/>
        <w:ind w:left="567"/>
        <w:jc w:val="both"/>
        <w:rPr>
          <w:rFonts w:ascii="David" w:hAnsi="David" w:cs="David"/>
        </w:rPr>
      </w:pPr>
    </w:p>
    <w:p w:rsidR="00570148" w:rsidRDefault="00570148" w:rsidP="00447236">
      <w:pPr>
        <w:pStyle w:val="ruller4"/>
        <w:numPr>
          <w:ilvl w:val="0"/>
          <w:numId w:val="1"/>
        </w:numPr>
        <w:shd w:val="clear" w:color="auto" w:fill="FFFFFF"/>
        <w:tabs>
          <w:tab w:val="left" w:pos="567"/>
        </w:tabs>
        <w:bidi/>
        <w:spacing w:before="0" w:beforeAutospacing="0" w:after="0" w:afterAutospacing="0" w:line="360" w:lineRule="auto"/>
        <w:ind w:left="567" w:hanging="567"/>
        <w:jc w:val="both"/>
        <w:rPr>
          <w:rFonts w:ascii="David" w:hAnsi="David" w:cs="David"/>
        </w:rPr>
      </w:pPr>
      <w:r>
        <w:rPr>
          <w:rFonts w:ascii="David" w:hAnsi="David" w:cs="David"/>
          <w:rtl/>
        </w:rPr>
        <w:t xml:space="preserve"> </w:t>
      </w:r>
      <w:r>
        <w:rPr>
          <w:rFonts w:ascii="David" w:hAnsi="David" w:cs="David"/>
          <w:rtl/>
        </w:rPr>
        <w:tab/>
        <w:t xml:space="preserve">באופן דומה, גם בתו של המנוח, המשיבה 2, הצהירה בתצהיר מטעמה: </w:t>
      </w:r>
      <w:r>
        <w:rPr>
          <w:rFonts w:ascii="David" w:hAnsi="David" w:cs="David"/>
          <w:b/>
          <w:bCs/>
          <w:rtl/>
        </w:rPr>
        <w:t>"במשך כל השנים אבא ואמא ניהלו חיי משפחה מלאים וסדירים וישנו באותה מיטה. כל שנה כל המשפחה יצאה לחופשות קיץ ביחד לצימרים בצפון. אבא מימן את כל צרכי הבית והמשפחה המורחבת לרבות כל התשלומים מכל סוג שהוא. לאבא ואמא היה כל השנים חשבון בנק משותף בבנק לאומי, אשר קיים עד היום. באמצעות חשבון זה שולמו ההוצאות השוטפות. במשך כל השנים אבא עבד בכל רחבי הארץ אך הקפיד לחזור הביתה ל</w:t>
      </w:r>
      <w:r w:rsidR="00447236">
        <w:rPr>
          <w:rFonts w:ascii="David" w:hAnsi="David" w:cs="David" w:hint="cs"/>
          <w:b/>
          <w:bCs/>
          <w:rtl/>
        </w:rPr>
        <w:t>-מ'</w:t>
      </w:r>
      <w:r>
        <w:rPr>
          <w:rFonts w:ascii="David" w:hAnsi="David" w:cs="David"/>
          <w:b/>
          <w:bCs/>
          <w:rtl/>
        </w:rPr>
        <w:t>..."</w:t>
      </w:r>
      <w:r>
        <w:rPr>
          <w:rFonts w:ascii="David" w:hAnsi="David" w:cs="David"/>
          <w:rtl/>
        </w:rPr>
        <w:t xml:space="preserve"> (סעיף 15 לתצהיר מטעמה). חיזוק לכך ניתן למצוא גם בתצהירו של אחיו של המנוח בסעיף 7, שם נכתבו דברים דומים ביחס לחיי המשפחה המלאים והסדירים שניהלו המנוח והמשיבה 1.</w:t>
      </w:r>
    </w:p>
    <w:p w:rsidR="00EB48D9" w:rsidRDefault="00EB48D9" w:rsidP="00EB48D9">
      <w:pPr>
        <w:pStyle w:val="ruller4"/>
        <w:shd w:val="clear" w:color="auto" w:fill="FFFFFF"/>
        <w:tabs>
          <w:tab w:val="left" w:pos="567"/>
        </w:tabs>
        <w:bidi/>
        <w:spacing w:before="0" w:beforeAutospacing="0" w:after="0" w:afterAutospacing="0" w:line="360" w:lineRule="auto"/>
        <w:ind w:left="567"/>
        <w:jc w:val="both"/>
        <w:rPr>
          <w:rFonts w:ascii="David" w:hAnsi="David" w:cs="David"/>
        </w:rPr>
      </w:pPr>
    </w:p>
    <w:p w:rsidR="00570148" w:rsidRDefault="00570148" w:rsidP="005D7C89">
      <w:pPr>
        <w:pStyle w:val="ruller4"/>
        <w:numPr>
          <w:ilvl w:val="0"/>
          <w:numId w:val="1"/>
        </w:numPr>
        <w:shd w:val="clear" w:color="auto" w:fill="FFFFFF"/>
        <w:tabs>
          <w:tab w:val="left" w:pos="567"/>
        </w:tabs>
        <w:bidi/>
        <w:spacing w:before="0" w:beforeAutospacing="0" w:after="0" w:afterAutospacing="0" w:line="360" w:lineRule="auto"/>
        <w:ind w:left="567" w:hanging="567"/>
        <w:jc w:val="both"/>
        <w:rPr>
          <w:rFonts w:ascii="David" w:hAnsi="David" w:cs="David"/>
        </w:rPr>
      </w:pPr>
      <w:r>
        <w:rPr>
          <w:rFonts w:ascii="David" w:hAnsi="David" w:cs="David"/>
          <w:rtl/>
        </w:rPr>
        <w:t xml:space="preserve"> </w:t>
      </w:r>
      <w:r>
        <w:rPr>
          <w:rFonts w:ascii="David" w:hAnsi="David" w:cs="David"/>
          <w:rtl/>
        </w:rPr>
        <w:tab/>
        <w:t xml:space="preserve">בעניין טיב היחסים שבין המנוח למשיבה 1 הצהירה גם חברה קרובה של המשיבות שהייתה בביתם "כבת בית", כי המשיבה 1 הייתה מכינה למנוח מדי בוקר ארוחת בוקר וכשהיה חוזר מאוחר, הייתה מכינה לו ארוחת ערב לאחריה היה משוחח עם נכדיו ועם ילדיה שלה (ר' סעיף 11 לתצהירה של גב' שחר מלמד). </w:t>
      </w:r>
    </w:p>
    <w:p w:rsidR="005D7C89" w:rsidRDefault="005D7C89" w:rsidP="005D7C89">
      <w:pPr>
        <w:pStyle w:val="ruller4"/>
        <w:shd w:val="clear" w:color="auto" w:fill="FFFFFF"/>
        <w:tabs>
          <w:tab w:val="left" w:pos="567"/>
        </w:tabs>
        <w:bidi/>
        <w:spacing w:before="0" w:beforeAutospacing="0" w:after="0" w:afterAutospacing="0" w:line="360" w:lineRule="auto"/>
        <w:ind w:left="567"/>
        <w:jc w:val="both"/>
        <w:rPr>
          <w:rFonts w:ascii="David" w:hAnsi="David" w:cs="David"/>
        </w:rPr>
      </w:pPr>
    </w:p>
    <w:p w:rsidR="00570148" w:rsidRDefault="00570148" w:rsidP="005D7C89">
      <w:pPr>
        <w:pStyle w:val="ruller4"/>
        <w:numPr>
          <w:ilvl w:val="0"/>
          <w:numId w:val="1"/>
        </w:numPr>
        <w:shd w:val="clear" w:color="auto" w:fill="FFFFFF"/>
        <w:tabs>
          <w:tab w:val="left" w:pos="567"/>
        </w:tabs>
        <w:bidi/>
        <w:spacing w:before="0" w:beforeAutospacing="0" w:after="0" w:afterAutospacing="0" w:line="360" w:lineRule="auto"/>
        <w:ind w:left="567" w:hanging="567"/>
        <w:jc w:val="both"/>
        <w:rPr>
          <w:rFonts w:ascii="David" w:hAnsi="David" w:cs="David"/>
        </w:rPr>
      </w:pPr>
      <w:r>
        <w:rPr>
          <w:rFonts w:ascii="David" w:hAnsi="David" w:cs="David"/>
          <w:b/>
          <w:bCs/>
          <w:rtl/>
        </w:rPr>
        <w:t xml:space="preserve"> </w:t>
      </w:r>
      <w:r>
        <w:rPr>
          <w:rFonts w:ascii="David" w:hAnsi="David" w:cs="David" w:hint="cs"/>
          <w:b/>
          <w:bCs/>
          <w:rtl/>
        </w:rPr>
        <w:tab/>
        <w:t>גרסתם זו של כלל העדים מטעם המשיבות לא נסתרו במאום במסגרת הליך ההוכחות. ב"כ המתנגדת בחר שלא להפנות למשיבות, אלמנתו של המנוח ובנותיו, כמו גם ליתר העדים מטעמן,</w:t>
      </w:r>
      <w:r>
        <w:rPr>
          <w:rFonts w:ascii="David" w:hAnsi="David" w:cs="David"/>
          <w:rtl/>
        </w:rPr>
        <w:t xml:space="preserve"> </w:t>
      </w:r>
      <w:r>
        <w:rPr>
          <w:rFonts w:ascii="David" w:hAnsi="David" w:cs="David"/>
          <w:b/>
          <w:bCs/>
          <w:rtl/>
        </w:rPr>
        <w:t>ולו שאלה אחת ביחס לטיב נישואיהם של המנוח והמשיבה 1, על מנת להוכיח את טענת המתנגדת לפיה נישואיו של המנוח למשיבה 1 היו נישואין פורמליים גרידא</w:t>
      </w:r>
      <w:r>
        <w:rPr>
          <w:rFonts w:ascii="David" w:hAnsi="David" w:cs="David"/>
          <w:rtl/>
        </w:rPr>
        <w:t>.</w:t>
      </w:r>
      <w:r>
        <w:rPr>
          <w:rFonts w:hint="cs"/>
          <w:rtl/>
        </w:rPr>
        <w:t xml:space="preserve"> </w:t>
      </w:r>
      <w:r>
        <w:rPr>
          <w:rFonts w:ascii="David" w:hAnsi="David" w:cs="David"/>
          <w:rtl/>
        </w:rPr>
        <w:t xml:space="preserve">הימנעות משאלת שאלות בחקירה  נגדית של מי שעדותו הוגשה בתצהיר, בהעדר הסבר אמין וסביר, פועלת לחובתה של המתנגדת, באשר על פניה, מתחייבת הסקת המסקנה שאילו היו נחקרות המשיבות על הצהרתן בדבר טיב היחסים שבין המנוח למשיבה 1, היה בתשובותיהן כדי לתמוך בגרסתן (ר' השופט י' קדמי בספרו </w:t>
      </w:r>
      <w:r>
        <w:rPr>
          <w:rFonts w:ascii="David" w:hAnsi="David" w:cs="David"/>
          <w:b/>
          <w:bCs/>
          <w:rtl/>
        </w:rPr>
        <w:t>על הראיות- הפן האזרחי</w:t>
      </w:r>
      <w:r>
        <w:rPr>
          <w:rFonts w:ascii="David" w:hAnsi="David" w:cs="David"/>
          <w:rtl/>
        </w:rPr>
        <w:t xml:space="preserve"> (תשמ"ט), בעמ' 352). הדברים יפים שבעתיים, שעה שטיב היחסים בין המנוח למשיבה 1 – הוא למעשה גדר המחלוקת בענייננו. שעה שהמשיבות טענו, וטענתן לא נסתרה, כי המנוח והמשיבה 1, חיו חיי זוגיות מלאים ושלמים, הרי שמצאתי לדחות את טענת המתנגדת, כי הנישואין היו פורמליים בלבד.</w:t>
      </w:r>
    </w:p>
    <w:p w:rsidR="005D7C89" w:rsidRDefault="005D7C89" w:rsidP="005D7C89">
      <w:pPr>
        <w:pStyle w:val="ruller4"/>
        <w:shd w:val="clear" w:color="auto" w:fill="FFFFFF"/>
        <w:tabs>
          <w:tab w:val="left" w:pos="567"/>
        </w:tabs>
        <w:bidi/>
        <w:spacing w:before="0" w:beforeAutospacing="0" w:after="0" w:afterAutospacing="0" w:line="360" w:lineRule="auto"/>
        <w:jc w:val="both"/>
        <w:rPr>
          <w:rFonts w:ascii="David" w:hAnsi="David" w:cs="David"/>
        </w:rPr>
      </w:pPr>
    </w:p>
    <w:p w:rsidR="00570148" w:rsidRDefault="00570148" w:rsidP="00E22F60">
      <w:pPr>
        <w:pStyle w:val="ruller4"/>
        <w:numPr>
          <w:ilvl w:val="0"/>
          <w:numId w:val="1"/>
        </w:numPr>
        <w:shd w:val="clear" w:color="auto" w:fill="FFFFFF"/>
        <w:tabs>
          <w:tab w:val="left" w:pos="567"/>
        </w:tabs>
        <w:bidi/>
        <w:spacing w:before="0" w:beforeAutospacing="0" w:after="0" w:afterAutospacing="0" w:line="360" w:lineRule="auto"/>
        <w:ind w:left="567" w:hanging="567"/>
        <w:jc w:val="both"/>
        <w:rPr>
          <w:rFonts w:ascii="David" w:hAnsi="David" w:cs="David"/>
        </w:rPr>
      </w:pPr>
      <w:r>
        <w:rPr>
          <w:rFonts w:ascii="David" w:hAnsi="David" w:cs="David"/>
          <w:rtl/>
        </w:rPr>
        <w:t xml:space="preserve"> </w:t>
      </w:r>
      <w:r>
        <w:rPr>
          <w:rFonts w:ascii="David" w:hAnsi="David" w:cs="David"/>
          <w:rtl/>
        </w:rPr>
        <w:tab/>
        <w:t>בנוסף, גם לא עלה בידי העדים שהעידו מטעם המתנגדת ליתן הסבר המניח את הדעת לשאלות שהופנו אליהם ע"י בית המשפט בנוגע להצהרותיהם, לפיהן המנוח היה נשוי למשיבה 1 באופן "פורמלי", והיכן עובר קו הגבול בין נישואין פורמליים לנישואין מהותיים בעניין טיב היחסים שבין המנוח למשיבה 1 (בעניין זה ר' חקירתו של בנה של המתנגדת בעמ' 19, ש' 29-36 – עמ' 20, ש' 1-29 לפרוטוקול הדיון מיום 19.1.2023; חקירת גב' ס</w:t>
      </w:r>
      <w:r w:rsidR="00E22F60">
        <w:rPr>
          <w:rFonts w:ascii="David" w:hAnsi="David" w:cs="David" w:hint="cs"/>
          <w:rtl/>
        </w:rPr>
        <w:t xml:space="preserve">'. </w:t>
      </w:r>
      <w:r>
        <w:rPr>
          <w:rFonts w:ascii="David" w:hAnsi="David" w:cs="David"/>
          <w:rtl/>
        </w:rPr>
        <w:t>ר</w:t>
      </w:r>
      <w:r w:rsidR="00E22F60">
        <w:rPr>
          <w:rFonts w:ascii="David" w:hAnsi="David" w:cs="David" w:hint="cs"/>
          <w:rtl/>
        </w:rPr>
        <w:t xml:space="preserve"> </w:t>
      </w:r>
      <w:r>
        <w:rPr>
          <w:rFonts w:ascii="David" w:hAnsi="David" w:cs="David"/>
          <w:rtl/>
        </w:rPr>
        <w:t>בעמ' 31, ש' 9-36 – עמ' 32, ש' 1-7 לפרוטוקול הדיון מיום 19.1.2023).</w:t>
      </w:r>
    </w:p>
    <w:p w:rsidR="005D7C89" w:rsidRDefault="005D7C89" w:rsidP="005D7C89">
      <w:pPr>
        <w:pStyle w:val="ruller4"/>
        <w:shd w:val="clear" w:color="auto" w:fill="FFFFFF"/>
        <w:tabs>
          <w:tab w:val="left" w:pos="567"/>
        </w:tabs>
        <w:bidi/>
        <w:spacing w:before="0" w:beforeAutospacing="0" w:after="0" w:afterAutospacing="0" w:line="360" w:lineRule="auto"/>
        <w:jc w:val="both"/>
        <w:rPr>
          <w:rFonts w:ascii="David" w:hAnsi="David" w:cs="David"/>
        </w:rPr>
      </w:pPr>
    </w:p>
    <w:p w:rsidR="00570148" w:rsidRDefault="00570148" w:rsidP="00447236">
      <w:pPr>
        <w:pStyle w:val="ruller4"/>
        <w:numPr>
          <w:ilvl w:val="0"/>
          <w:numId w:val="1"/>
        </w:numPr>
        <w:shd w:val="clear" w:color="auto" w:fill="FFFFFF"/>
        <w:tabs>
          <w:tab w:val="left" w:pos="567"/>
        </w:tabs>
        <w:bidi/>
        <w:spacing w:before="0" w:beforeAutospacing="0" w:after="0" w:afterAutospacing="0" w:line="360" w:lineRule="auto"/>
        <w:ind w:left="567" w:hanging="567"/>
        <w:jc w:val="both"/>
        <w:rPr>
          <w:rFonts w:ascii="David" w:hAnsi="David" w:cs="David"/>
        </w:rPr>
      </w:pPr>
      <w:r>
        <w:rPr>
          <w:rFonts w:ascii="David" w:hAnsi="David" w:cs="David"/>
          <w:rtl/>
        </w:rPr>
        <w:t xml:space="preserve"> </w:t>
      </w:r>
      <w:r>
        <w:rPr>
          <w:rFonts w:ascii="David" w:hAnsi="David" w:cs="David"/>
          <w:rtl/>
        </w:rPr>
        <w:tab/>
        <w:t>אין מחלוקת בין הצדדים, כי לאורך כל שנות נישואיהם, המשיך המנוח להתגורר בחלק מהזמן בביתו המשותף עם המשיבה 1, כאשר המנוח בילה עם משפחתו בשבתות וחגי ישראל, וכי המנוח נהג להתפלל בבית הכנסת ב</w:t>
      </w:r>
      <w:r w:rsidR="00447236">
        <w:rPr>
          <w:rFonts w:ascii="David" w:hAnsi="David" w:cs="David" w:hint="cs"/>
          <w:rtl/>
        </w:rPr>
        <w:t>-מ'</w:t>
      </w:r>
      <w:r>
        <w:rPr>
          <w:rFonts w:ascii="David" w:hAnsi="David" w:cs="David"/>
          <w:rtl/>
        </w:rPr>
        <w:t>. אומנם מחומר הראיות שהובא בפניי השתכנעתי כי המנוח נהג ללון גם בבית המתנגדת, אך הוא מעולם לא ביקש לנתק את עצמו מביתו ב</w:t>
      </w:r>
      <w:r w:rsidR="00447236">
        <w:rPr>
          <w:rFonts w:ascii="David" w:hAnsi="David" w:cs="David" w:hint="cs"/>
          <w:rtl/>
        </w:rPr>
        <w:t>-מ'</w:t>
      </w:r>
      <w:r>
        <w:rPr>
          <w:rFonts w:ascii="David" w:hAnsi="David" w:cs="David"/>
          <w:rtl/>
        </w:rPr>
        <w:t xml:space="preserve">, שם המשיך להתגורר לצד המשיבה 1. </w:t>
      </w:r>
    </w:p>
    <w:p w:rsidR="005D7C89" w:rsidRDefault="005D7C89" w:rsidP="005D7C89">
      <w:pPr>
        <w:pStyle w:val="ruller4"/>
        <w:shd w:val="clear" w:color="auto" w:fill="FFFFFF"/>
        <w:tabs>
          <w:tab w:val="left" w:pos="567"/>
        </w:tabs>
        <w:bidi/>
        <w:spacing w:before="0" w:beforeAutospacing="0" w:after="0" w:afterAutospacing="0" w:line="360" w:lineRule="auto"/>
        <w:jc w:val="both"/>
        <w:rPr>
          <w:rFonts w:ascii="David" w:hAnsi="David" w:cs="David"/>
        </w:rPr>
      </w:pPr>
    </w:p>
    <w:p w:rsidR="00570148" w:rsidRDefault="00570148" w:rsidP="00447236">
      <w:pPr>
        <w:pStyle w:val="ruller4"/>
        <w:shd w:val="clear" w:color="auto" w:fill="FFFFFF"/>
        <w:tabs>
          <w:tab w:val="left" w:pos="567"/>
        </w:tabs>
        <w:bidi/>
        <w:spacing w:before="0" w:beforeAutospacing="0" w:after="0" w:afterAutospacing="0" w:line="360" w:lineRule="auto"/>
        <w:ind w:left="567"/>
        <w:jc w:val="both"/>
        <w:rPr>
          <w:rFonts w:ascii="David" w:hAnsi="David" w:cs="David"/>
          <w:rtl/>
        </w:rPr>
      </w:pPr>
      <w:r>
        <w:rPr>
          <w:rFonts w:ascii="David" w:hAnsi="David" w:cs="David"/>
          <w:rtl/>
        </w:rPr>
        <w:t>לטענת המתנגדת, המשך מגוריו המשותפים של המנוח עם המשיבה 1 בביתם המשותף שב</w:t>
      </w:r>
      <w:r w:rsidR="00447236">
        <w:rPr>
          <w:rFonts w:ascii="David" w:hAnsi="David" w:cs="David" w:hint="cs"/>
          <w:rtl/>
        </w:rPr>
        <w:t>-</w:t>
      </w:r>
      <w:r>
        <w:rPr>
          <w:rFonts w:ascii="David" w:hAnsi="David" w:cs="David"/>
          <w:rtl/>
        </w:rPr>
        <w:t>מ</w:t>
      </w:r>
      <w:r w:rsidR="00447236">
        <w:rPr>
          <w:rFonts w:ascii="David" w:hAnsi="David" w:cs="David" w:hint="cs"/>
          <w:rtl/>
        </w:rPr>
        <w:t>'</w:t>
      </w:r>
      <w:r>
        <w:rPr>
          <w:rFonts w:ascii="David" w:hAnsi="David" w:cs="David"/>
          <w:rtl/>
        </w:rPr>
        <w:t xml:space="preserve"> לא נבע אלא משום רצונו להתפלל עם קהילתו בבית הכנסת בישוב ולבלות עם נכדיו. ואולם, ברי כי היה באפשרות המנוח, ככל שהיה מעוניין בכך, לעשות כן בבית מגורים נפרד מהמשיבה 1, קל וחומר בשים לב למצבו הכלכלי האיתן. העובדה כי המנוח</w:t>
      </w:r>
      <w:r>
        <w:rPr>
          <w:rFonts w:ascii="David" w:hAnsi="David" w:cs="David"/>
          <w:b/>
          <w:bCs/>
          <w:rtl/>
        </w:rPr>
        <w:t xml:space="preserve"> בחר מרצונו</w:t>
      </w:r>
      <w:r>
        <w:rPr>
          <w:rFonts w:ascii="David" w:hAnsi="David" w:cs="David"/>
          <w:rtl/>
        </w:rPr>
        <w:t xml:space="preserve"> להוסיף ולהתגורר תחת קורת גג אחת עם המשיבה 1 ולא לנתק יחסיו עמה, יהיו שיקוליו אשר יהיו, היא הנותנת כי נישואים אלה לא היו נישואים פורמליים גרידא. מה גם, שכאמור, המנוח בחר שלא להביא את הנישואין לידי סיום בדרך של גירושין, ולמצער הגשת תביעת גירושין לערכאה המוסמכת.</w:t>
      </w:r>
    </w:p>
    <w:p w:rsidR="005D7C89" w:rsidRDefault="005D7C89" w:rsidP="005D7C89">
      <w:pPr>
        <w:pStyle w:val="ruller4"/>
        <w:shd w:val="clear" w:color="auto" w:fill="FFFFFF"/>
        <w:tabs>
          <w:tab w:val="left" w:pos="567"/>
        </w:tabs>
        <w:bidi/>
        <w:spacing w:before="0" w:beforeAutospacing="0" w:after="0" w:afterAutospacing="0" w:line="360" w:lineRule="auto"/>
        <w:jc w:val="both"/>
        <w:rPr>
          <w:rFonts w:ascii="David" w:hAnsi="David" w:cs="David"/>
        </w:rPr>
      </w:pPr>
    </w:p>
    <w:p w:rsidR="00570148" w:rsidRDefault="00570148" w:rsidP="005D7C89">
      <w:pPr>
        <w:pStyle w:val="ruller4"/>
        <w:numPr>
          <w:ilvl w:val="0"/>
          <w:numId w:val="1"/>
        </w:numPr>
        <w:shd w:val="clear" w:color="auto" w:fill="FFFFFF"/>
        <w:tabs>
          <w:tab w:val="left" w:pos="567"/>
        </w:tabs>
        <w:bidi/>
        <w:spacing w:before="0" w:beforeAutospacing="0" w:after="0" w:afterAutospacing="0" w:line="360" w:lineRule="auto"/>
        <w:ind w:left="567" w:hanging="567"/>
        <w:jc w:val="both"/>
        <w:rPr>
          <w:rFonts w:ascii="David" w:hAnsi="David" w:cs="David"/>
        </w:rPr>
      </w:pPr>
      <w:r>
        <w:rPr>
          <w:rFonts w:ascii="David" w:hAnsi="David" w:cs="David"/>
          <w:rtl/>
        </w:rPr>
        <w:tab/>
        <w:t>מכלל הראיות שהונחו לפני, לרבות צילום המחאה מחשבון הבנק המשותף של המנוח והמשיבה 1; העתק נסח הטאבו של בית המגורים ותדפיס החשבון המשותף במס הכנסה שצורפו לתצהיר המשיבה 1, התרשמתי, כי לאורך שנות נישואיהם, המנוח והמשיבה 1 התנהלו בשיתוף רכושי, לרבות בחשבון הבנק ובית המגורים המשותף, באופן המחזק את המסקנה כי נישואיהם לא היו "על הנייר" בלבד כטענת המתנגדת, קל וחומר עת עסקינן בשיתוף ברכוש רב ובסכומים גבוהים. המשיבה 1 הבהירה בחקירתה הנגדית, כי ההחלטות הכלכליות שלה ושל המנוח במרוצת השנים התקבלו במשותף, באשר המנוח היה יותר "איש הכספים", אך דאג לעדכן אותה ולשתף אותה וההחלטות התקבלו יחדיו, תוך הסתמכות מלאה מצדה (ר' עמ' 63, ש' 21-27 לפרוטוקול הדיון לפרוטוקול הדיון מיום 23.4.2023).</w:t>
      </w:r>
    </w:p>
    <w:p w:rsidR="005D7C89" w:rsidRDefault="005D7C89" w:rsidP="005D7C89">
      <w:pPr>
        <w:pStyle w:val="ruller4"/>
        <w:shd w:val="clear" w:color="auto" w:fill="FFFFFF"/>
        <w:tabs>
          <w:tab w:val="left" w:pos="567"/>
        </w:tabs>
        <w:bidi/>
        <w:spacing w:before="0" w:beforeAutospacing="0" w:after="0" w:afterAutospacing="0" w:line="360" w:lineRule="auto"/>
        <w:ind w:left="567"/>
        <w:jc w:val="both"/>
        <w:rPr>
          <w:rFonts w:ascii="David" w:hAnsi="David" w:cs="David"/>
          <w:rtl/>
        </w:rPr>
      </w:pPr>
    </w:p>
    <w:p w:rsidR="00570148" w:rsidRPr="00590F00" w:rsidRDefault="00570148" w:rsidP="005D7C89">
      <w:pPr>
        <w:pStyle w:val="ruller4"/>
        <w:numPr>
          <w:ilvl w:val="0"/>
          <w:numId w:val="1"/>
        </w:numPr>
        <w:shd w:val="clear" w:color="auto" w:fill="FFFFFF"/>
        <w:tabs>
          <w:tab w:val="left" w:pos="567"/>
        </w:tabs>
        <w:bidi/>
        <w:spacing w:before="0" w:beforeAutospacing="0" w:after="0" w:afterAutospacing="0" w:line="360" w:lineRule="auto"/>
        <w:ind w:left="567" w:hanging="567"/>
        <w:jc w:val="both"/>
        <w:rPr>
          <w:rFonts w:ascii="David" w:hAnsi="David" w:cs="David"/>
          <w:b/>
          <w:bCs/>
        </w:rPr>
      </w:pPr>
      <w:r>
        <w:rPr>
          <w:rFonts w:ascii="David" w:hAnsi="David" w:cs="David"/>
          <w:b/>
          <w:bCs/>
          <w:rtl/>
        </w:rPr>
        <w:t xml:space="preserve"> </w:t>
      </w:r>
      <w:r>
        <w:rPr>
          <w:rFonts w:ascii="David" w:hAnsi="David" w:cs="David"/>
          <w:b/>
          <w:bCs/>
          <w:rtl/>
        </w:rPr>
        <w:tab/>
        <w:t xml:space="preserve">אם כן, לא נסתר על ידי המתנגדת כי מערכת היחסים של המנוח והמשיבה 1 התאפיינה </w:t>
      </w:r>
      <w:r w:rsidRPr="00590F00">
        <w:rPr>
          <w:rFonts w:ascii="David" w:hAnsi="David" w:cs="David"/>
          <w:b/>
          <w:bCs/>
          <w:rtl/>
        </w:rPr>
        <w:t>בדאגה האחד כלפי השני; השניים סעדו יחד ארוחות ערב שישי, שבת וחג; נסעו לחופשים יחד; ישנו על דרך הכלל באותה המיטה והתנהלו בשיתוף רכושי מוחלט. ברי כי נישואין מסוג זה אינם "נישואין על הנייר".</w:t>
      </w:r>
    </w:p>
    <w:p w:rsidR="005D7C89" w:rsidRDefault="005D7C89" w:rsidP="005D7C89">
      <w:pPr>
        <w:pStyle w:val="ruller4"/>
        <w:shd w:val="clear" w:color="auto" w:fill="FFFFFF"/>
        <w:tabs>
          <w:tab w:val="left" w:pos="567"/>
        </w:tabs>
        <w:bidi/>
        <w:spacing w:before="0" w:beforeAutospacing="0" w:after="0" w:afterAutospacing="0" w:line="360" w:lineRule="auto"/>
        <w:jc w:val="both"/>
        <w:rPr>
          <w:rFonts w:ascii="David" w:hAnsi="David" w:cs="David"/>
          <w:b/>
          <w:bCs/>
        </w:rPr>
      </w:pPr>
    </w:p>
    <w:p w:rsidR="00570148" w:rsidRDefault="00570148" w:rsidP="005D7C89">
      <w:pPr>
        <w:pStyle w:val="ruller4"/>
        <w:numPr>
          <w:ilvl w:val="0"/>
          <w:numId w:val="1"/>
        </w:numPr>
        <w:shd w:val="clear" w:color="auto" w:fill="FFFFFF"/>
        <w:tabs>
          <w:tab w:val="left" w:pos="567"/>
        </w:tabs>
        <w:bidi/>
        <w:spacing w:before="0" w:beforeAutospacing="0" w:after="0" w:afterAutospacing="0" w:line="360" w:lineRule="auto"/>
        <w:ind w:left="567" w:hanging="567"/>
        <w:jc w:val="both"/>
        <w:rPr>
          <w:rFonts w:ascii="David" w:hAnsi="David" w:cs="David"/>
        </w:rPr>
      </w:pPr>
      <w:r>
        <w:rPr>
          <w:rFonts w:ascii="David" w:hAnsi="David" w:cs="David"/>
          <w:rtl/>
        </w:rPr>
        <w:t xml:space="preserve"> </w:t>
      </w:r>
      <w:r>
        <w:rPr>
          <w:rFonts w:ascii="David" w:hAnsi="David" w:cs="David"/>
          <w:rtl/>
        </w:rPr>
        <w:tab/>
        <w:t xml:space="preserve">גם אם אמצא לקבל את כלל טענות המתנגדת בדבר מערכת היחסים בינה לבין המנוח כמערכת זוגית, מיטיבה וארוכת שנים, הרי שאין די בכך כדי להוביל למסקנה כי יחסיהם של המנוח והמשיבה 1 היו פורמליים בלבד כפי שהיא מבקשת לטעון, על מנת שניתן יהא להחיל בענייננו את הגישה המהותית בבחינת סעיפים 10-11 לחוק הירושה. </w:t>
      </w:r>
    </w:p>
    <w:p w:rsidR="005D7C89" w:rsidRDefault="005D7C89" w:rsidP="005D7C89">
      <w:pPr>
        <w:pStyle w:val="ruller4"/>
        <w:shd w:val="clear" w:color="auto" w:fill="FFFFFF"/>
        <w:tabs>
          <w:tab w:val="left" w:pos="567"/>
        </w:tabs>
        <w:bidi/>
        <w:spacing w:before="0" w:beforeAutospacing="0" w:after="0" w:afterAutospacing="0" w:line="360" w:lineRule="auto"/>
        <w:jc w:val="both"/>
        <w:rPr>
          <w:rFonts w:ascii="David" w:hAnsi="David" w:cs="David"/>
        </w:rPr>
      </w:pPr>
    </w:p>
    <w:p w:rsidR="00570148" w:rsidRDefault="00570148" w:rsidP="005D7C89">
      <w:pPr>
        <w:pStyle w:val="ruller4"/>
        <w:numPr>
          <w:ilvl w:val="0"/>
          <w:numId w:val="1"/>
        </w:numPr>
        <w:shd w:val="clear" w:color="auto" w:fill="FFFFFF"/>
        <w:tabs>
          <w:tab w:val="left" w:pos="567"/>
        </w:tabs>
        <w:bidi/>
        <w:spacing w:before="0" w:beforeAutospacing="0" w:after="0" w:afterAutospacing="0" w:line="360" w:lineRule="auto"/>
        <w:ind w:left="567" w:hanging="567"/>
        <w:jc w:val="both"/>
        <w:rPr>
          <w:rFonts w:ascii="David" w:hAnsi="David" w:cs="David"/>
        </w:rPr>
      </w:pPr>
      <w:r>
        <w:rPr>
          <w:rFonts w:ascii="David" w:hAnsi="David" w:cs="David"/>
          <w:b/>
          <w:bCs/>
          <w:rtl/>
        </w:rPr>
        <w:t xml:space="preserve"> </w:t>
      </w:r>
      <w:r>
        <w:rPr>
          <w:rFonts w:ascii="David" w:hAnsi="David" w:cs="David"/>
          <w:b/>
          <w:bCs/>
          <w:rtl/>
        </w:rPr>
        <w:tab/>
        <w:t>ודוק; אין ביחסים שבין המנוח למתנגדת, כשלעצמם, כדי להשליך באופן ישיר על טיב יחסיהם של המנוח והמשיבה 1, כך שייקבע כי אלה היו "על הנייר" בלבד</w:t>
      </w:r>
      <w:r>
        <w:rPr>
          <w:rFonts w:ascii="David" w:hAnsi="David" w:cs="David"/>
          <w:rtl/>
        </w:rPr>
        <w:t xml:space="preserve">. </w:t>
      </w:r>
      <w:r>
        <w:rPr>
          <w:rFonts w:ascii="David" w:hAnsi="David" w:cs="David"/>
          <w:b/>
          <w:bCs/>
          <w:rtl/>
        </w:rPr>
        <w:t>קיומן של מערכות יחסים אינטימיות עם אחרים אינן מאיינות, כשלעצמן, את קשר הנישואין, בהעדר ביטוי מפורש של מי מהצדדים בדבר רצונו בסיום הקשר</w:t>
      </w:r>
      <w:r>
        <w:rPr>
          <w:rFonts w:ascii="David" w:hAnsi="David" w:cs="David"/>
          <w:rtl/>
        </w:rPr>
        <w:t xml:space="preserve">. </w:t>
      </w:r>
    </w:p>
    <w:p w:rsidR="005D7C89" w:rsidRDefault="005D7C89" w:rsidP="005D7C89">
      <w:pPr>
        <w:pStyle w:val="ruller4"/>
        <w:shd w:val="clear" w:color="auto" w:fill="FFFFFF"/>
        <w:tabs>
          <w:tab w:val="left" w:pos="567"/>
        </w:tabs>
        <w:bidi/>
        <w:spacing w:before="0" w:beforeAutospacing="0" w:after="0" w:afterAutospacing="0" w:line="360" w:lineRule="auto"/>
        <w:jc w:val="both"/>
        <w:rPr>
          <w:rFonts w:ascii="David" w:hAnsi="David" w:cs="David"/>
        </w:rPr>
      </w:pPr>
    </w:p>
    <w:p w:rsidR="005D7C89" w:rsidRDefault="00570148" w:rsidP="005D7C89">
      <w:pPr>
        <w:pStyle w:val="ruller4"/>
        <w:numPr>
          <w:ilvl w:val="0"/>
          <w:numId w:val="1"/>
        </w:numPr>
        <w:shd w:val="clear" w:color="auto" w:fill="FFFFFF"/>
        <w:tabs>
          <w:tab w:val="left" w:pos="567"/>
        </w:tabs>
        <w:bidi/>
        <w:spacing w:before="0" w:beforeAutospacing="0" w:after="0" w:afterAutospacing="0" w:line="360" w:lineRule="auto"/>
        <w:ind w:left="567" w:hanging="567"/>
        <w:jc w:val="both"/>
        <w:rPr>
          <w:rFonts w:ascii="David" w:hAnsi="David" w:cs="David"/>
          <w:b/>
          <w:bCs/>
        </w:rPr>
      </w:pPr>
      <w:r>
        <w:rPr>
          <w:rFonts w:ascii="David" w:hAnsi="David" w:cs="David"/>
          <w:rtl/>
        </w:rPr>
        <w:t xml:space="preserve"> </w:t>
      </w:r>
      <w:r>
        <w:rPr>
          <w:rFonts w:ascii="David" w:hAnsi="David" w:cs="David"/>
          <w:rtl/>
        </w:rPr>
        <w:tab/>
      </w:r>
      <w:r>
        <w:rPr>
          <w:rFonts w:ascii="David" w:hAnsi="David" w:cs="David"/>
          <w:b/>
          <w:bCs/>
          <w:rtl/>
        </w:rPr>
        <w:t xml:space="preserve">נסיבות העניין שבפנינו, אינן נכנסות בגדר המקרים החריגים והקיצוניים בהם אימצה הפסיקה את הגישה המהותית בפירוש המונח "בן זוג", אליה הפנתה המתנגדת בסיכומיה. </w:t>
      </w:r>
    </w:p>
    <w:p w:rsidR="005D7C89" w:rsidRPr="005D7C89" w:rsidRDefault="005D7C89" w:rsidP="005D7C89">
      <w:pPr>
        <w:pStyle w:val="ruller4"/>
        <w:shd w:val="clear" w:color="auto" w:fill="FFFFFF"/>
        <w:tabs>
          <w:tab w:val="left" w:pos="567"/>
        </w:tabs>
        <w:bidi/>
        <w:spacing w:before="0" w:beforeAutospacing="0" w:after="0" w:afterAutospacing="0" w:line="360" w:lineRule="auto"/>
        <w:jc w:val="both"/>
        <w:rPr>
          <w:rFonts w:ascii="David" w:hAnsi="David" w:cs="David"/>
          <w:b/>
          <w:bCs/>
        </w:rPr>
      </w:pPr>
    </w:p>
    <w:p w:rsidR="00570148" w:rsidRDefault="00570148" w:rsidP="005D7C89">
      <w:pPr>
        <w:pStyle w:val="ad"/>
        <w:numPr>
          <w:ilvl w:val="0"/>
          <w:numId w:val="1"/>
        </w:numPr>
        <w:tabs>
          <w:tab w:val="left" w:pos="567"/>
        </w:tabs>
        <w:spacing w:after="0" w:line="360" w:lineRule="auto"/>
        <w:ind w:left="567" w:hanging="567"/>
        <w:contextualSpacing w:val="0"/>
        <w:jc w:val="both"/>
        <w:rPr>
          <w:rFonts w:ascii="David" w:eastAsia="Times New Roman" w:hAnsi="David" w:cs="David"/>
          <w:color w:val="FF0000"/>
          <w:sz w:val="24"/>
          <w:szCs w:val="24"/>
        </w:rPr>
      </w:pPr>
      <w:r>
        <w:rPr>
          <w:rFonts w:ascii="David" w:eastAsia="Times New Roman" w:hAnsi="David" w:cs="David"/>
          <w:sz w:val="24"/>
          <w:szCs w:val="24"/>
          <w:rtl/>
        </w:rPr>
        <w:tab/>
        <w:t>בענייננו, כאמור, לא הוכח כי המנוח והמשיבה 1 נפרדו ואף לא נטען, וממילא לא הוכח,  שפניהם היו לגירושין; כך גם לא הוכחה כל כוונה של מי מהם להיפרד ממשנהו או כי אחד מהם אחז בדעתו להתגרש תוך שהשני סיכל זאת. אף אם בין המנוח למתנגדת התקיימה מערכת יחסים זוגית כנה ועמוקה, לא התרשמתי כי נישואיו למשיבה 1 היו ריקים מתוכן, שכן המנוח והמשיבה 1 המשיכו לנהל חיי משפחה לצד מערכת היחסים הנטענת של המנוח והמתנגדת.</w:t>
      </w:r>
    </w:p>
    <w:p w:rsidR="00570148" w:rsidRDefault="00570148" w:rsidP="005D7C89">
      <w:pPr>
        <w:pStyle w:val="ad"/>
        <w:numPr>
          <w:ilvl w:val="0"/>
          <w:numId w:val="1"/>
        </w:numPr>
        <w:tabs>
          <w:tab w:val="left" w:pos="567"/>
        </w:tabs>
        <w:spacing w:after="0" w:line="360" w:lineRule="auto"/>
        <w:ind w:left="567" w:hanging="567"/>
        <w:contextualSpacing w:val="0"/>
        <w:jc w:val="both"/>
        <w:rPr>
          <w:rFonts w:ascii="David" w:eastAsia="Times New Roman" w:hAnsi="David" w:cs="David"/>
          <w:sz w:val="24"/>
          <w:szCs w:val="24"/>
        </w:rPr>
      </w:pPr>
      <w:r>
        <w:rPr>
          <w:rFonts w:ascii="David" w:eastAsia="Times New Roman" w:hAnsi="David" w:cs="David"/>
          <w:sz w:val="24"/>
          <w:szCs w:val="24"/>
          <w:rtl/>
        </w:rPr>
        <w:t xml:space="preserve"> </w:t>
      </w:r>
      <w:r>
        <w:rPr>
          <w:rFonts w:ascii="David" w:eastAsia="Times New Roman" w:hAnsi="David" w:cs="David"/>
          <w:sz w:val="24"/>
          <w:szCs w:val="24"/>
          <w:rtl/>
        </w:rPr>
        <w:tab/>
        <w:t>יודגש, כי הנטל להוכחת טיב היחסים שבין המנוח למשיבה 1, מוטל על המתנגדת בבחינת הכלל של "המוציא מחברו עליו הראייה" ולא על המשיבות, כפי שמבקשת לטעון המתנגדת בסיכומיה. לאור כל המפורט לעיל, לא מצאתי כי המתנגדת עמדה בנטל הרובץ על כתפיה להוכיח שהמנוח והמשיבה 1 ניהלו זוגיות "על הנייר" בלבד. כאמור מהראיות והעדויות שהונחו בפני, עולה דווקא מסקנה הפוכה.</w:t>
      </w:r>
    </w:p>
    <w:p w:rsidR="005D7C89" w:rsidRDefault="00570148" w:rsidP="005D7C89">
      <w:pPr>
        <w:pStyle w:val="ad"/>
        <w:tabs>
          <w:tab w:val="left" w:pos="567"/>
        </w:tabs>
        <w:spacing w:after="0" w:line="360" w:lineRule="auto"/>
        <w:ind w:left="567"/>
        <w:contextualSpacing w:val="0"/>
        <w:jc w:val="both"/>
        <w:rPr>
          <w:rFonts w:ascii="David" w:eastAsia="Times New Roman" w:hAnsi="David" w:cs="David"/>
          <w:sz w:val="24"/>
          <w:szCs w:val="24"/>
        </w:rPr>
      </w:pPr>
      <w:r>
        <w:rPr>
          <w:rFonts w:ascii="David" w:eastAsia="Times New Roman" w:hAnsi="David" w:cs="David"/>
          <w:sz w:val="24"/>
          <w:szCs w:val="24"/>
          <w:rtl/>
        </w:rPr>
        <w:t xml:space="preserve">  </w:t>
      </w:r>
      <w:r>
        <w:rPr>
          <w:rFonts w:ascii="David" w:eastAsia="Times New Roman" w:hAnsi="David" w:cs="David"/>
          <w:sz w:val="24"/>
          <w:szCs w:val="24"/>
          <w:rtl/>
        </w:rPr>
        <w:tab/>
      </w:r>
    </w:p>
    <w:p w:rsidR="00570148" w:rsidRDefault="005D7C89" w:rsidP="005D7C89">
      <w:pPr>
        <w:pStyle w:val="ad"/>
        <w:numPr>
          <w:ilvl w:val="0"/>
          <w:numId w:val="1"/>
        </w:numPr>
        <w:tabs>
          <w:tab w:val="left" w:pos="567"/>
        </w:tabs>
        <w:spacing w:after="0" w:line="360" w:lineRule="auto"/>
        <w:ind w:left="567" w:hanging="567"/>
        <w:contextualSpacing w:val="0"/>
        <w:jc w:val="both"/>
        <w:rPr>
          <w:rFonts w:ascii="David" w:eastAsia="Times New Roman" w:hAnsi="David" w:cs="David"/>
          <w:sz w:val="24"/>
          <w:szCs w:val="24"/>
        </w:rPr>
      </w:pPr>
      <w:r>
        <w:rPr>
          <w:rFonts w:ascii="David" w:eastAsia="Times New Roman" w:hAnsi="David" w:cs="David" w:hint="cs"/>
          <w:sz w:val="24"/>
          <w:szCs w:val="24"/>
          <w:rtl/>
        </w:rPr>
        <w:t xml:space="preserve"> </w:t>
      </w:r>
      <w:r>
        <w:rPr>
          <w:rFonts w:ascii="David" w:eastAsia="Times New Roman" w:hAnsi="David" w:cs="David" w:hint="cs"/>
          <w:sz w:val="24"/>
          <w:szCs w:val="24"/>
          <w:rtl/>
        </w:rPr>
        <w:tab/>
      </w:r>
      <w:r w:rsidR="00570148">
        <w:rPr>
          <w:rFonts w:ascii="David" w:eastAsia="Times New Roman" w:hAnsi="David" w:cs="David"/>
          <w:sz w:val="24"/>
          <w:szCs w:val="24"/>
          <w:rtl/>
        </w:rPr>
        <w:t xml:space="preserve">כמו כן, לא מצאתי לקבל טענת המתנגדת, כי קביעותיו של כב' השופט בן שלו בפסק דינו בע"ר 20850-12-18, משליכות על זכאותה לרשת את המנוח כבת זוגו על פי סעיפים 10-11 לחוק הירושה. בית המשפט (כב' השופט בן שלו), לא קבע ולא התיימר לקבוע דבר ביחס לזכאות המתנגדת לרשת את המנוח מכוח חוק הירושה, אלא אך דן במעמדה להתנגד לבקשה לקיום צוואה בהיותה "מעוניין בדבר", לאור טענותיה בדבר מערכת היחסים שקיימה עם המנוח. </w:t>
      </w:r>
    </w:p>
    <w:p w:rsidR="005D7C89" w:rsidRDefault="005D7C89" w:rsidP="005D7C89">
      <w:pPr>
        <w:pStyle w:val="ad"/>
        <w:tabs>
          <w:tab w:val="left" w:pos="567"/>
        </w:tabs>
        <w:spacing w:after="0" w:line="360" w:lineRule="auto"/>
        <w:ind w:left="567"/>
        <w:contextualSpacing w:val="0"/>
        <w:jc w:val="both"/>
        <w:rPr>
          <w:rFonts w:ascii="David" w:eastAsia="Times New Roman" w:hAnsi="David" w:cs="David"/>
          <w:sz w:val="24"/>
          <w:szCs w:val="24"/>
        </w:rPr>
      </w:pPr>
    </w:p>
    <w:p w:rsidR="00570148" w:rsidRDefault="005D7C89" w:rsidP="00B07577">
      <w:pPr>
        <w:pStyle w:val="ad"/>
        <w:numPr>
          <w:ilvl w:val="0"/>
          <w:numId w:val="1"/>
        </w:numPr>
        <w:tabs>
          <w:tab w:val="left" w:pos="567"/>
        </w:tabs>
        <w:spacing w:after="0" w:line="360" w:lineRule="auto"/>
        <w:ind w:left="567" w:hanging="567"/>
        <w:contextualSpacing w:val="0"/>
        <w:jc w:val="both"/>
        <w:rPr>
          <w:rFonts w:ascii="David" w:eastAsia="Times New Roman" w:hAnsi="David" w:cs="David"/>
          <w:sz w:val="24"/>
          <w:szCs w:val="24"/>
        </w:rPr>
      </w:pPr>
      <w:r>
        <w:rPr>
          <w:rFonts w:ascii="David" w:eastAsia="Times New Roman" w:hAnsi="David" w:cs="David" w:hint="cs"/>
          <w:sz w:val="24"/>
          <w:szCs w:val="24"/>
          <w:rtl/>
        </w:rPr>
        <w:t xml:space="preserve"> </w:t>
      </w:r>
      <w:r>
        <w:rPr>
          <w:rFonts w:ascii="David" w:eastAsia="Times New Roman" w:hAnsi="David" w:cs="David" w:hint="cs"/>
          <w:sz w:val="24"/>
          <w:szCs w:val="24"/>
          <w:rtl/>
        </w:rPr>
        <w:tab/>
      </w:r>
      <w:r w:rsidR="00570148">
        <w:rPr>
          <w:rFonts w:ascii="David" w:eastAsia="Times New Roman" w:hAnsi="David" w:cs="David"/>
          <w:sz w:val="24"/>
          <w:szCs w:val="24"/>
          <w:rtl/>
        </w:rPr>
        <w:t>באופן דומה, אף דינה של טענת המתנגדת, כי ההליך שהתנהל בבית הדין לענייני עבודה בינה לבין חברת "כ</w:t>
      </w:r>
      <w:r w:rsidR="00B07577">
        <w:rPr>
          <w:rFonts w:ascii="David" w:eastAsia="Times New Roman" w:hAnsi="David" w:cs="David" w:hint="cs"/>
          <w:sz w:val="24"/>
          <w:szCs w:val="24"/>
          <w:rtl/>
        </w:rPr>
        <w:t>.פ.ב.</w:t>
      </w:r>
      <w:r w:rsidR="00570148">
        <w:rPr>
          <w:rFonts w:ascii="David" w:eastAsia="Times New Roman" w:hAnsi="David" w:cs="David"/>
          <w:sz w:val="24"/>
          <w:szCs w:val="24"/>
          <w:rtl/>
        </w:rPr>
        <w:t xml:space="preserve">" משליך על ההליך שבפנינו – להידחות. אף אם צוין על ידי בית הדין לעבודה בפסק דין, כי המנוח והמתנגדת היו "בני זוג ידועים בציבור" או כי המתנגדת הייתה בת זוגו של המנוח, אין לכך כל משמעות לעניינו שכן, מוסד הידועים בציבור אינו מהווה סטטוס משפטי ויש צורך להוכיחו בכל פעם מחדש באופן ספציפי בהקשר למטרה לשמה הוא נדרש ובהקשר לחקיקה הספציפית המקנה את הזכות המבוקשת. השאלה האם בני זוג חיו "כידועים בציבור" ואם לאו, צריכה להיבחן לצורך הכרעה בעתירה לקבלת סעד מסוים ואין מקום ליתן פסק דין המכריז על בני זוג כידועים בציבור לכל דבר ולכל עניין (ראה: ע"א 2000/97 </w:t>
      </w:r>
      <w:r w:rsidR="00570148">
        <w:rPr>
          <w:rFonts w:ascii="David" w:eastAsia="Times New Roman" w:hAnsi="David" w:cs="David"/>
          <w:b/>
          <w:bCs/>
          <w:sz w:val="24"/>
          <w:szCs w:val="24"/>
          <w:rtl/>
        </w:rPr>
        <w:t>לינדורן נ' קרנית</w:t>
      </w:r>
      <w:r w:rsidR="00570148">
        <w:rPr>
          <w:rFonts w:ascii="David" w:eastAsia="Times New Roman" w:hAnsi="David" w:cs="David"/>
          <w:sz w:val="24"/>
          <w:szCs w:val="24"/>
          <w:rtl/>
        </w:rPr>
        <w:t>, פ"ד נה(1) 12 (פורסם בנבו, 19.12.1999)).</w:t>
      </w:r>
    </w:p>
    <w:p w:rsidR="005D7C89" w:rsidRDefault="005D7C89" w:rsidP="005D7C89">
      <w:pPr>
        <w:pStyle w:val="ad"/>
        <w:tabs>
          <w:tab w:val="left" w:pos="567"/>
        </w:tabs>
        <w:spacing w:after="0" w:line="360" w:lineRule="auto"/>
        <w:ind w:left="567" w:hanging="567"/>
        <w:contextualSpacing w:val="0"/>
        <w:jc w:val="both"/>
        <w:rPr>
          <w:rFonts w:ascii="David" w:eastAsia="Times New Roman" w:hAnsi="David" w:cs="David"/>
          <w:sz w:val="24"/>
          <w:szCs w:val="24"/>
          <w:rtl/>
        </w:rPr>
      </w:pPr>
    </w:p>
    <w:p w:rsidR="00570148" w:rsidRPr="00285EED" w:rsidRDefault="00570148" w:rsidP="005D7C89">
      <w:pPr>
        <w:pStyle w:val="ad"/>
        <w:tabs>
          <w:tab w:val="left" w:pos="567"/>
        </w:tabs>
        <w:spacing w:after="0" w:line="360" w:lineRule="auto"/>
        <w:ind w:left="567" w:hanging="567"/>
        <w:contextualSpacing w:val="0"/>
        <w:jc w:val="both"/>
        <w:rPr>
          <w:rFonts w:ascii="David" w:eastAsia="Times New Roman" w:hAnsi="David" w:cs="David"/>
          <w:sz w:val="24"/>
          <w:szCs w:val="24"/>
          <w:rtl/>
        </w:rPr>
      </w:pPr>
      <w:r>
        <w:rPr>
          <w:rFonts w:ascii="David" w:eastAsia="Times New Roman" w:hAnsi="David" w:cs="David"/>
          <w:sz w:val="24"/>
          <w:szCs w:val="24"/>
          <w:rtl/>
        </w:rPr>
        <w:tab/>
        <w:t xml:space="preserve">בית הדין לעבודה לא דן בסעד של הכרה כידועים בציבור, ולא בחן את מבחני הפסיקה הנדרשים לכך לגופו של עניין, וודאי שלא דן בשאלת יחסיהם של המתנגדת והמנוח כ"ידועים בציבור" בראי דיני הירושה. בית הדין לענייני עבודה התייחס לשאלת מערכת היחסים שבין המנוח למתנגדת ביחס למחלוקת שניצבה לפניו בסכסוך שבין המתנגדת דכאן לחברה שהייתה בבעלות המנוח – הא ותו לא. כאמור, ההכרה במוסד הידועים בציבור היא נקודתית ומתייחסת לזכאות ספציפית כלפי גורם ספציפי ואינה פועלת כלפי כולי עלמא. יוסף, כי ממילא, לאור מסקנתי </w:t>
      </w:r>
      <w:r w:rsidRPr="00285EED">
        <w:rPr>
          <w:rFonts w:ascii="David" w:eastAsia="Times New Roman" w:hAnsi="David" w:cs="David"/>
          <w:sz w:val="24"/>
          <w:szCs w:val="24"/>
          <w:rtl/>
        </w:rPr>
        <w:t>לעיל, כי אין בטיב היחסים שבין המנוח למתנגדת כדי להשפיע על זכאותה לרשת את עזבונו מכוח סעיפים 10-11 לחוק הירושה לנוכח היותו נשוי (פורמלית ומהותית) בשעת מותו, כך שאין בנסיבות העניין משקל לקביעות בית הדין לענייני עבודה בפסק דינו.</w:t>
      </w:r>
    </w:p>
    <w:p w:rsidR="005D7C89" w:rsidRPr="00285EED" w:rsidRDefault="005D7C89" w:rsidP="005D7C89">
      <w:pPr>
        <w:pStyle w:val="ad"/>
        <w:tabs>
          <w:tab w:val="left" w:pos="567"/>
        </w:tabs>
        <w:spacing w:after="0" w:line="360" w:lineRule="auto"/>
        <w:ind w:left="567" w:hanging="567"/>
        <w:contextualSpacing w:val="0"/>
        <w:jc w:val="both"/>
        <w:rPr>
          <w:rFonts w:ascii="David" w:eastAsia="Times New Roman" w:hAnsi="David" w:cs="David"/>
          <w:sz w:val="24"/>
          <w:szCs w:val="24"/>
        </w:rPr>
      </w:pPr>
    </w:p>
    <w:p w:rsidR="00570148" w:rsidRDefault="00570148" w:rsidP="005D7C89">
      <w:pPr>
        <w:pStyle w:val="ad"/>
        <w:numPr>
          <w:ilvl w:val="0"/>
          <w:numId w:val="1"/>
        </w:numPr>
        <w:tabs>
          <w:tab w:val="left" w:pos="567"/>
        </w:tabs>
        <w:spacing w:after="0" w:line="360" w:lineRule="auto"/>
        <w:ind w:left="567" w:hanging="567"/>
        <w:contextualSpacing w:val="0"/>
        <w:jc w:val="both"/>
        <w:rPr>
          <w:rFonts w:ascii="David" w:eastAsia="Times New Roman" w:hAnsi="David" w:cs="David"/>
          <w:b/>
          <w:bCs/>
          <w:sz w:val="24"/>
          <w:szCs w:val="24"/>
        </w:rPr>
      </w:pPr>
      <w:r w:rsidRPr="00285EED">
        <w:rPr>
          <w:rFonts w:ascii="David" w:eastAsia="Times New Roman" w:hAnsi="David" w:cs="David"/>
          <w:b/>
          <w:bCs/>
          <w:sz w:val="24"/>
          <w:szCs w:val="24"/>
          <w:rtl/>
        </w:rPr>
        <w:t xml:space="preserve"> </w:t>
      </w:r>
      <w:r w:rsidRPr="00285EED">
        <w:rPr>
          <w:rFonts w:ascii="David" w:eastAsia="Times New Roman" w:hAnsi="David" w:cs="David"/>
          <w:b/>
          <w:bCs/>
          <w:sz w:val="24"/>
          <w:szCs w:val="24"/>
          <w:rtl/>
        </w:rPr>
        <w:tab/>
        <w:t>מכל המקובץ לעיל, עולה כי המתנגדת אינה זכאית לרשת את המנוח מכוח סעיפים 10-11</w:t>
      </w:r>
      <w:r>
        <w:rPr>
          <w:rFonts w:ascii="David" w:eastAsia="Times New Roman" w:hAnsi="David" w:cs="David"/>
          <w:b/>
          <w:bCs/>
          <w:sz w:val="24"/>
          <w:szCs w:val="24"/>
          <w:rtl/>
        </w:rPr>
        <w:t xml:space="preserve"> לחוק הירושה כ"בת זוגו", הן בהתאם לגישה המקובלת – הגישה הפורמלית, עת המנוח היה נשוי בשעת מותו, והן בהתאם לגישה המהותית, שעה שהמתנגדת לא עמדה בנטל המוטל עליה להוכיח כי טיב יחסיהם שבין המנוח לאלמנתו, המשיבה 1, היו "פורמליים", "על הנייר" גרידא. </w:t>
      </w:r>
    </w:p>
    <w:p w:rsidR="005D7C89" w:rsidRPr="005D7C89" w:rsidRDefault="005D7C89" w:rsidP="005D7C89">
      <w:pPr>
        <w:tabs>
          <w:tab w:val="left" w:pos="567"/>
        </w:tabs>
        <w:spacing w:line="360" w:lineRule="auto"/>
        <w:jc w:val="both"/>
        <w:rPr>
          <w:rFonts w:ascii="David" w:hAnsi="David"/>
          <w:b/>
          <w:bCs/>
        </w:rPr>
      </w:pPr>
    </w:p>
    <w:p w:rsidR="00570148" w:rsidRDefault="00570148" w:rsidP="005D7C89">
      <w:pPr>
        <w:pStyle w:val="ad"/>
        <w:numPr>
          <w:ilvl w:val="0"/>
          <w:numId w:val="1"/>
        </w:numPr>
        <w:tabs>
          <w:tab w:val="left" w:pos="567"/>
        </w:tabs>
        <w:spacing w:after="0" w:line="360" w:lineRule="auto"/>
        <w:ind w:left="567" w:hanging="567"/>
        <w:contextualSpacing w:val="0"/>
        <w:jc w:val="both"/>
        <w:rPr>
          <w:rFonts w:ascii="David" w:eastAsia="Times New Roman" w:hAnsi="David" w:cs="David"/>
          <w:sz w:val="24"/>
          <w:szCs w:val="24"/>
        </w:rPr>
      </w:pPr>
      <w:r>
        <w:rPr>
          <w:rFonts w:ascii="David" w:eastAsia="Times New Roman" w:hAnsi="David" w:cs="David"/>
          <w:sz w:val="24"/>
          <w:szCs w:val="24"/>
          <w:rtl/>
        </w:rPr>
        <w:t xml:space="preserve"> </w:t>
      </w:r>
      <w:r>
        <w:rPr>
          <w:rFonts w:ascii="David" w:eastAsia="Times New Roman" w:hAnsi="David" w:cs="David"/>
          <w:sz w:val="24"/>
          <w:szCs w:val="24"/>
          <w:rtl/>
        </w:rPr>
        <w:tab/>
        <w:t>די באמור כדי לסתום הגולל על ההתנגדות ולדחותה.</w:t>
      </w:r>
    </w:p>
    <w:p w:rsidR="005D7C89" w:rsidRDefault="005D7C89" w:rsidP="005D7C89">
      <w:pPr>
        <w:tabs>
          <w:tab w:val="left" w:pos="567"/>
        </w:tabs>
        <w:spacing w:line="360" w:lineRule="auto"/>
        <w:ind w:left="567" w:hanging="567"/>
        <w:jc w:val="both"/>
        <w:rPr>
          <w:rFonts w:ascii="David" w:hAnsi="David"/>
          <w:b/>
          <w:bCs/>
          <w:u w:val="single"/>
          <w:rtl/>
        </w:rPr>
      </w:pPr>
    </w:p>
    <w:p w:rsidR="00570148" w:rsidRDefault="00570148" w:rsidP="005D7C89">
      <w:pPr>
        <w:tabs>
          <w:tab w:val="left" w:pos="567"/>
        </w:tabs>
        <w:spacing w:line="360" w:lineRule="auto"/>
        <w:ind w:left="567" w:hanging="567"/>
        <w:jc w:val="both"/>
        <w:rPr>
          <w:rFonts w:ascii="David" w:hAnsi="David"/>
          <w:b/>
          <w:bCs/>
          <w:rtl/>
        </w:rPr>
      </w:pPr>
      <w:r>
        <w:rPr>
          <w:rFonts w:ascii="David" w:hAnsi="David"/>
          <w:b/>
          <w:bCs/>
          <w:u w:val="single"/>
          <w:rtl/>
        </w:rPr>
        <w:t>זכות הירושה מכוח סעיף 55 לחוק הירושה</w:t>
      </w:r>
      <w:r>
        <w:rPr>
          <w:rFonts w:ascii="David" w:hAnsi="David"/>
          <w:b/>
          <w:bCs/>
          <w:rtl/>
        </w:rPr>
        <w:t>:</w:t>
      </w:r>
    </w:p>
    <w:p w:rsidR="00254551" w:rsidRDefault="00254551" w:rsidP="00254551">
      <w:pPr>
        <w:tabs>
          <w:tab w:val="left" w:pos="567"/>
        </w:tabs>
        <w:spacing w:line="360" w:lineRule="auto"/>
        <w:ind w:left="567" w:hanging="567"/>
        <w:jc w:val="both"/>
        <w:rPr>
          <w:rFonts w:ascii="David" w:hAnsi="David"/>
          <w:b/>
          <w:bCs/>
        </w:rPr>
      </w:pPr>
    </w:p>
    <w:p w:rsidR="00570148" w:rsidRDefault="00570148" w:rsidP="005D7C89">
      <w:pPr>
        <w:pStyle w:val="ad"/>
        <w:numPr>
          <w:ilvl w:val="0"/>
          <w:numId w:val="1"/>
        </w:numPr>
        <w:tabs>
          <w:tab w:val="left" w:pos="567"/>
        </w:tabs>
        <w:spacing w:after="0" w:line="360" w:lineRule="auto"/>
        <w:ind w:left="567" w:hanging="567"/>
        <w:contextualSpacing w:val="0"/>
        <w:jc w:val="both"/>
        <w:rPr>
          <w:rFonts w:ascii="David" w:eastAsia="Times New Roman" w:hAnsi="David" w:cs="David"/>
          <w:sz w:val="24"/>
          <w:szCs w:val="24"/>
        </w:rPr>
      </w:pPr>
      <w:r>
        <w:rPr>
          <w:rFonts w:ascii="David" w:eastAsia="Times New Roman" w:hAnsi="David" w:cs="David"/>
          <w:sz w:val="24"/>
          <w:szCs w:val="24"/>
          <w:rtl/>
        </w:rPr>
        <w:t xml:space="preserve"> </w:t>
      </w:r>
      <w:r>
        <w:rPr>
          <w:rFonts w:ascii="David" w:eastAsia="Times New Roman" w:hAnsi="David" w:cs="David"/>
          <w:sz w:val="24"/>
          <w:szCs w:val="24"/>
          <w:rtl/>
        </w:rPr>
        <w:tab/>
        <w:t xml:space="preserve">הרבה מעבר לדרוש ועל אף שהמתנגדת לא טענה מפורשות להקניית זכות בעזבון המנוח מכוח הוראת סעיף 55 לחוק הירושה, ולא עתרה למתן פסק דין הצהרתי להכרתה כידועתו בציבור של המנוח, ייאמר כי אף אם הייתי מוצאת לקבוע כי המנוח והמתנגדת היו ידועים בציבור, הרי שממילא, לא היה באפשרות המתנגדת לרשת את המנוח לאור הוראת סעיף 55 לחוק הירושה, באשר המנוח היה נשוי בשעת מותו לאחרת. </w:t>
      </w:r>
    </w:p>
    <w:p w:rsidR="00254551" w:rsidRDefault="00254551" w:rsidP="00254551">
      <w:pPr>
        <w:pStyle w:val="ad"/>
        <w:tabs>
          <w:tab w:val="left" w:pos="567"/>
        </w:tabs>
        <w:spacing w:after="0" w:line="360" w:lineRule="auto"/>
        <w:ind w:left="567"/>
        <w:contextualSpacing w:val="0"/>
        <w:jc w:val="both"/>
        <w:rPr>
          <w:rFonts w:ascii="David" w:eastAsia="Times New Roman" w:hAnsi="David" w:cs="David"/>
          <w:sz w:val="24"/>
          <w:szCs w:val="24"/>
        </w:rPr>
      </w:pPr>
    </w:p>
    <w:p w:rsidR="00570148" w:rsidRDefault="00570148" w:rsidP="005D7C89">
      <w:pPr>
        <w:pStyle w:val="ad"/>
        <w:numPr>
          <w:ilvl w:val="0"/>
          <w:numId w:val="1"/>
        </w:numPr>
        <w:tabs>
          <w:tab w:val="left" w:pos="567"/>
        </w:tabs>
        <w:spacing w:after="0" w:line="360" w:lineRule="auto"/>
        <w:ind w:left="567" w:hanging="567"/>
        <w:contextualSpacing w:val="0"/>
        <w:jc w:val="both"/>
        <w:rPr>
          <w:rFonts w:ascii="David" w:eastAsia="Times New Roman" w:hAnsi="David" w:cs="David"/>
          <w:sz w:val="24"/>
          <w:szCs w:val="24"/>
        </w:rPr>
      </w:pPr>
      <w:r>
        <w:rPr>
          <w:rFonts w:ascii="David" w:eastAsia="Times New Roman" w:hAnsi="David" w:cs="David"/>
          <w:sz w:val="24"/>
          <w:szCs w:val="24"/>
          <w:rtl/>
        </w:rPr>
        <w:t xml:space="preserve"> </w:t>
      </w:r>
      <w:r>
        <w:rPr>
          <w:rFonts w:ascii="David" w:eastAsia="Times New Roman" w:hAnsi="David" w:cs="David"/>
          <w:sz w:val="24"/>
          <w:szCs w:val="24"/>
          <w:rtl/>
        </w:rPr>
        <w:tab/>
        <w:t>יוזכר, כי בהתאם לסעיף 55 לחוק הירושה, על מנת שזוג יוכל להיחשב לצורך חוק הירושה, כידועים בציבור, צריכים להתקיים ארבעה תנאים מצטברים: (א) חיי משפחה; (ב) משק בית משותף; (ג) אינם נשואים זה לזה; (ד) בשעת מות אחד מהם לא היה בן-זוגו נשוי לאדם אחר.</w:t>
      </w:r>
    </w:p>
    <w:p w:rsidR="00254551" w:rsidRPr="00254551" w:rsidRDefault="00254551" w:rsidP="00254551">
      <w:pPr>
        <w:tabs>
          <w:tab w:val="left" w:pos="567"/>
        </w:tabs>
        <w:spacing w:line="360" w:lineRule="auto"/>
        <w:jc w:val="both"/>
        <w:rPr>
          <w:rFonts w:ascii="David" w:hAnsi="David"/>
        </w:rPr>
      </w:pPr>
    </w:p>
    <w:p w:rsidR="00570148" w:rsidRDefault="00570148" w:rsidP="005D7C89">
      <w:pPr>
        <w:pStyle w:val="ad"/>
        <w:numPr>
          <w:ilvl w:val="0"/>
          <w:numId w:val="1"/>
        </w:numPr>
        <w:tabs>
          <w:tab w:val="left" w:pos="567"/>
        </w:tabs>
        <w:spacing w:after="0" w:line="360" w:lineRule="auto"/>
        <w:ind w:left="567" w:hanging="567"/>
        <w:contextualSpacing w:val="0"/>
        <w:jc w:val="both"/>
        <w:rPr>
          <w:rFonts w:ascii="David" w:eastAsia="Times New Roman" w:hAnsi="David" w:cs="David"/>
          <w:sz w:val="24"/>
          <w:szCs w:val="24"/>
        </w:rPr>
      </w:pPr>
      <w:r>
        <w:rPr>
          <w:rFonts w:ascii="David" w:eastAsia="Times New Roman" w:hAnsi="David" w:cs="David"/>
          <w:sz w:val="24"/>
          <w:szCs w:val="24"/>
          <w:rtl/>
        </w:rPr>
        <w:t xml:space="preserve"> </w:t>
      </w:r>
      <w:r>
        <w:rPr>
          <w:rFonts w:ascii="David" w:eastAsia="Times New Roman" w:hAnsi="David" w:cs="David"/>
          <w:sz w:val="24"/>
          <w:szCs w:val="24"/>
          <w:rtl/>
        </w:rPr>
        <w:tab/>
        <w:t xml:space="preserve">אין חולק, כי בנדוננו לא מתקיים התנאי הרביעי, לפיו בן הזוג לא היה נשוי לאדם אחר. </w:t>
      </w:r>
    </w:p>
    <w:p w:rsidR="00254551" w:rsidRPr="00254551" w:rsidRDefault="00254551" w:rsidP="00254551">
      <w:pPr>
        <w:tabs>
          <w:tab w:val="left" w:pos="567"/>
        </w:tabs>
        <w:spacing w:line="360" w:lineRule="auto"/>
        <w:jc w:val="both"/>
        <w:rPr>
          <w:rFonts w:ascii="David" w:hAnsi="David"/>
        </w:rPr>
      </w:pPr>
    </w:p>
    <w:p w:rsidR="00570148" w:rsidRDefault="00570148" w:rsidP="005D7C89">
      <w:pPr>
        <w:pStyle w:val="ad"/>
        <w:numPr>
          <w:ilvl w:val="0"/>
          <w:numId w:val="1"/>
        </w:numPr>
        <w:tabs>
          <w:tab w:val="left" w:pos="567"/>
        </w:tabs>
        <w:spacing w:after="0" w:line="360" w:lineRule="auto"/>
        <w:ind w:left="567" w:hanging="567"/>
        <w:contextualSpacing w:val="0"/>
        <w:jc w:val="both"/>
        <w:rPr>
          <w:rFonts w:ascii="David" w:eastAsia="Times New Roman" w:hAnsi="David" w:cs="David"/>
          <w:sz w:val="24"/>
          <w:szCs w:val="24"/>
        </w:rPr>
      </w:pPr>
      <w:r>
        <w:rPr>
          <w:rFonts w:ascii="David" w:eastAsia="Times New Roman" w:hAnsi="David" w:cs="David"/>
          <w:sz w:val="24"/>
          <w:szCs w:val="24"/>
          <w:rtl/>
        </w:rPr>
        <w:t xml:space="preserve"> </w:t>
      </w:r>
      <w:r>
        <w:rPr>
          <w:rFonts w:ascii="David" w:eastAsia="Times New Roman" w:hAnsi="David" w:cs="David"/>
          <w:sz w:val="24"/>
          <w:szCs w:val="24"/>
          <w:rtl/>
        </w:rPr>
        <w:tab/>
        <w:t xml:space="preserve">בע"א 384/61 </w:t>
      </w:r>
      <w:r>
        <w:rPr>
          <w:rFonts w:ascii="David" w:eastAsia="Times New Roman" w:hAnsi="David" w:cs="David"/>
          <w:b/>
          <w:bCs/>
          <w:sz w:val="24"/>
          <w:szCs w:val="24"/>
          <w:rtl/>
        </w:rPr>
        <w:t>מדינת ישראל נ' רות סופיה פסלר</w:t>
      </w:r>
      <w:r>
        <w:rPr>
          <w:rFonts w:ascii="David" w:eastAsia="Times New Roman" w:hAnsi="David" w:cs="David"/>
          <w:sz w:val="24"/>
          <w:szCs w:val="24"/>
          <w:rtl/>
        </w:rPr>
        <w:t xml:space="preserve">, טז 102 (1962), נקבע כי כאשר המחוקק משתמש במונח "ידועים בציבור", אין מניעה שמי מבני הזוג יהיה נשוי באותה עת לאדם אחר. כתוצאה מפסק דין זה, הבהיר המחוקק באופן חד משמעי שפרשנות זו אינה נכונה כשמדובר בדיני ירושה וקבע ברחל בתך הקטנה שהתנאי לירושה הוא ש"בשעת מותו אף אחד מהם לא היה נשוי לאדם אחר" (ר' שמואל שילה, </w:t>
      </w:r>
      <w:r>
        <w:rPr>
          <w:rFonts w:ascii="David" w:eastAsia="Times New Roman" w:hAnsi="David" w:cs="David"/>
          <w:b/>
          <w:bCs/>
          <w:sz w:val="24"/>
          <w:szCs w:val="24"/>
          <w:rtl/>
        </w:rPr>
        <w:t>פירוש לחוק הירושה, תשכ"ה-1965</w:t>
      </w:r>
      <w:r>
        <w:rPr>
          <w:rFonts w:ascii="David" w:eastAsia="Times New Roman" w:hAnsi="David" w:cs="David"/>
          <w:sz w:val="24"/>
          <w:szCs w:val="24"/>
          <w:rtl/>
        </w:rPr>
        <w:t xml:space="preserve"> (כרך א, 1995, בעמ' 469).</w:t>
      </w:r>
    </w:p>
    <w:p w:rsidR="00254551" w:rsidRPr="00254551" w:rsidRDefault="00254551" w:rsidP="00254551">
      <w:pPr>
        <w:tabs>
          <w:tab w:val="left" w:pos="567"/>
        </w:tabs>
        <w:spacing w:line="360" w:lineRule="auto"/>
        <w:jc w:val="both"/>
        <w:rPr>
          <w:rFonts w:ascii="David" w:hAnsi="David"/>
        </w:rPr>
      </w:pPr>
    </w:p>
    <w:p w:rsidR="00570148" w:rsidRDefault="00570148" w:rsidP="005D7C89">
      <w:pPr>
        <w:pStyle w:val="ad"/>
        <w:numPr>
          <w:ilvl w:val="0"/>
          <w:numId w:val="1"/>
        </w:numPr>
        <w:tabs>
          <w:tab w:val="left" w:pos="567"/>
        </w:tabs>
        <w:spacing w:after="0" w:line="360" w:lineRule="auto"/>
        <w:ind w:left="567" w:hanging="567"/>
        <w:contextualSpacing w:val="0"/>
        <w:jc w:val="both"/>
        <w:rPr>
          <w:rFonts w:ascii="David" w:eastAsia="Times New Roman" w:hAnsi="David" w:cs="David"/>
          <w:sz w:val="24"/>
          <w:szCs w:val="24"/>
        </w:rPr>
      </w:pPr>
      <w:r>
        <w:rPr>
          <w:rFonts w:ascii="David" w:eastAsia="Times New Roman" w:hAnsi="David" w:cs="David"/>
          <w:sz w:val="24"/>
          <w:szCs w:val="24"/>
          <w:rtl/>
        </w:rPr>
        <w:t xml:space="preserve"> </w:t>
      </w:r>
      <w:r>
        <w:rPr>
          <w:rFonts w:ascii="David" w:eastAsia="Times New Roman" w:hAnsi="David" w:cs="David"/>
          <w:sz w:val="24"/>
          <w:szCs w:val="24"/>
          <w:rtl/>
        </w:rPr>
        <w:tab/>
        <w:t>סבורני, כי פרשנות המונח "נשוי" בסעיף 55 לחוק הירושה הינה נישואין פורמאליים התקפים לפי הדין במקום עריכתם וכל פירוש אחר לא יעלה בקנה אחד עם לשון החוק ותכליתו. לא בכדי הבחין המחוקק בין סעיפים 11, ירושה מכוח קשר נישואין פורמלי וסעיף 55, ירושה מכוח קשר של "ידועים בציבור" (הגם שיודגש כי הסעיף אינו נושא כותרת של "ידועים בציבור"). משמעות סעיף 55 לחוק הירושה, היא כי בהעדר צוואה, לבן הזוג הנשוי מעמד עדיף על פני הידוע בציבור של בן זוגו, והוא יזכה למרבית העיזבון, וזאת, אף כאשר הנישואין בין בני הזוג הינם פורמאליים בלבד (בשונה מהמקרה שלפנינו). פירוש מהותי של קשר הנישואין, למעשה אמור להוביל לביטול סעיף 55 לחוק הירושה, עת לכאורה ידועים בציבור יהיו זכאים לירושה מכוח סעיף 11 לחוק הירושה.</w:t>
      </w:r>
    </w:p>
    <w:p w:rsidR="000F536B" w:rsidRPr="000F536B" w:rsidRDefault="000F536B" w:rsidP="000F536B">
      <w:pPr>
        <w:tabs>
          <w:tab w:val="left" w:pos="567"/>
        </w:tabs>
        <w:spacing w:line="360" w:lineRule="auto"/>
        <w:jc w:val="both"/>
        <w:rPr>
          <w:rFonts w:ascii="David" w:hAnsi="David"/>
        </w:rPr>
      </w:pPr>
    </w:p>
    <w:p w:rsidR="00570148" w:rsidRDefault="00570148" w:rsidP="005D7C89">
      <w:pPr>
        <w:pStyle w:val="ad"/>
        <w:numPr>
          <w:ilvl w:val="0"/>
          <w:numId w:val="1"/>
        </w:numPr>
        <w:tabs>
          <w:tab w:val="left" w:pos="567"/>
        </w:tabs>
        <w:spacing w:after="0" w:line="360" w:lineRule="auto"/>
        <w:ind w:left="567" w:hanging="567"/>
        <w:contextualSpacing w:val="0"/>
        <w:jc w:val="both"/>
        <w:rPr>
          <w:rFonts w:ascii="David" w:eastAsia="Times New Roman" w:hAnsi="David" w:cs="David"/>
          <w:sz w:val="24"/>
          <w:szCs w:val="24"/>
        </w:rPr>
      </w:pPr>
      <w:r>
        <w:rPr>
          <w:rFonts w:ascii="David" w:eastAsia="Times New Roman" w:hAnsi="David" w:cs="David"/>
          <w:sz w:val="24"/>
          <w:szCs w:val="24"/>
          <w:rtl/>
        </w:rPr>
        <w:t xml:space="preserve"> </w:t>
      </w:r>
      <w:r>
        <w:rPr>
          <w:rFonts w:ascii="David" w:eastAsia="Times New Roman" w:hAnsi="David" w:cs="David"/>
          <w:sz w:val="24"/>
          <w:szCs w:val="24"/>
          <w:rtl/>
        </w:rPr>
        <w:tab/>
        <w:t xml:space="preserve">לו היה המחוקק מכיר בזכויות ידועים בציבור כשצד אחד עוד נשוי לאחר, היה למעשה, אם לא להלכה, מכיר בזכויות הנובעים מביגמיה (ר' שמואל שילה, </w:t>
      </w:r>
      <w:r>
        <w:rPr>
          <w:rFonts w:ascii="David" w:eastAsia="Times New Roman" w:hAnsi="David" w:cs="David"/>
          <w:b/>
          <w:bCs/>
          <w:sz w:val="24"/>
          <w:szCs w:val="24"/>
          <w:rtl/>
        </w:rPr>
        <w:t>פירוש לחוק הירושה, תשכ"ה-1965</w:t>
      </w:r>
      <w:r>
        <w:rPr>
          <w:rFonts w:ascii="David" w:eastAsia="Times New Roman" w:hAnsi="David" w:cs="David"/>
          <w:sz w:val="24"/>
          <w:szCs w:val="24"/>
          <w:rtl/>
        </w:rPr>
        <w:t xml:space="preserve"> (כרך א, 1995, בעמ' 467).</w:t>
      </w:r>
    </w:p>
    <w:p w:rsidR="00254551" w:rsidRPr="00254551" w:rsidRDefault="00254551" w:rsidP="00254551">
      <w:pPr>
        <w:tabs>
          <w:tab w:val="left" w:pos="567"/>
        </w:tabs>
        <w:spacing w:line="360" w:lineRule="auto"/>
        <w:jc w:val="both"/>
        <w:rPr>
          <w:rFonts w:ascii="David" w:hAnsi="David"/>
        </w:rPr>
      </w:pPr>
    </w:p>
    <w:p w:rsidR="00570148" w:rsidRDefault="00570148" w:rsidP="005D7C89">
      <w:pPr>
        <w:pStyle w:val="ad"/>
        <w:numPr>
          <w:ilvl w:val="0"/>
          <w:numId w:val="1"/>
        </w:numPr>
        <w:tabs>
          <w:tab w:val="left" w:pos="567"/>
        </w:tabs>
        <w:spacing w:after="0" w:line="360" w:lineRule="auto"/>
        <w:ind w:left="567" w:hanging="567"/>
        <w:contextualSpacing w:val="0"/>
        <w:jc w:val="both"/>
        <w:rPr>
          <w:rFonts w:ascii="David" w:eastAsia="Times New Roman" w:hAnsi="David" w:cs="David"/>
          <w:sz w:val="24"/>
          <w:szCs w:val="24"/>
        </w:rPr>
      </w:pPr>
      <w:r>
        <w:rPr>
          <w:rFonts w:ascii="David" w:eastAsia="Times New Roman" w:hAnsi="David" w:cs="David"/>
          <w:sz w:val="24"/>
          <w:szCs w:val="24"/>
          <w:rtl/>
        </w:rPr>
        <w:t xml:space="preserve"> </w:t>
      </w:r>
      <w:r>
        <w:rPr>
          <w:rFonts w:ascii="David" w:eastAsia="Times New Roman" w:hAnsi="David" w:cs="David"/>
          <w:sz w:val="24"/>
          <w:szCs w:val="24"/>
          <w:rtl/>
        </w:rPr>
        <w:tab/>
        <w:t xml:space="preserve">כך, גם הכרה בנישואין או בגירושין על סמך יחסי הצדדים בפועל, ללא קשר למצב הרישום הפורמאלי, מאפשרת אי סדרים וחוסר וודאות ברישום במרשם האוכלוסין ומעוררת לא מעט קשיים חברתיים וערכיים. הסדר ציבורי טוב, מחייב ניהול מרשם אוכלוסין אמת ועדכני המשקף נכוחה את תמונת המצב בפועל כלפי כולי עלמא (ר' דבריו של כב' השופט זגורי בת"ע (משפחה נצרת) 19892-11-13 </w:t>
      </w:r>
      <w:r>
        <w:rPr>
          <w:rFonts w:ascii="David" w:eastAsia="Times New Roman" w:hAnsi="David" w:cs="David"/>
          <w:b/>
          <w:bCs/>
          <w:sz w:val="24"/>
          <w:szCs w:val="24"/>
          <w:rtl/>
        </w:rPr>
        <w:t xml:space="preserve">י.ק נ' ו.ס </w:t>
      </w:r>
      <w:r>
        <w:rPr>
          <w:rFonts w:ascii="David" w:eastAsia="Times New Roman" w:hAnsi="David" w:cs="David"/>
          <w:sz w:val="24"/>
          <w:szCs w:val="24"/>
          <w:rtl/>
        </w:rPr>
        <w:t>(נבו 30.12.2014), פסקה 22).</w:t>
      </w:r>
    </w:p>
    <w:p w:rsidR="00254551" w:rsidRDefault="00254551" w:rsidP="005D7C89">
      <w:pPr>
        <w:tabs>
          <w:tab w:val="left" w:pos="567"/>
        </w:tabs>
        <w:spacing w:line="360" w:lineRule="auto"/>
        <w:ind w:left="567" w:hanging="567"/>
        <w:jc w:val="both"/>
        <w:rPr>
          <w:rFonts w:ascii="David" w:hAnsi="David"/>
          <w:b/>
          <w:bCs/>
          <w:u w:val="single"/>
          <w:rtl/>
        </w:rPr>
      </w:pPr>
    </w:p>
    <w:p w:rsidR="00570148" w:rsidRDefault="00570148" w:rsidP="00254551">
      <w:pPr>
        <w:tabs>
          <w:tab w:val="left" w:pos="567"/>
        </w:tabs>
        <w:spacing w:line="360" w:lineRule="auto"/>
        <w:ind w:left="567" w:hanging="567"/>
        <w:jc w:val="both"/>
        <w:rPr>
          <w:rFonts w:ascii="David" w:hAnsi="David"/>
          <w:b/>
          <w:bCs/>
          <w:rtl/>
        </w:rPr>
      </w:pPr>
      <w:r>
        <w:rPr>
          <w:rFonts w:ascii="David" w:hAnsi="David"/>
          <w:b/>
          <w:bCs/>
          <w:u w:val="single"/>
          <w:rtl/>
        </w:rPr>
        <w:t>סיכומו של דבר</w:t>
      </w:r>
      <w:r>
        <w:rPr>
          <w:rFonts w:ascii="David" w:hAnsi="David"/>
          <w:b/>
          <w:bCs/>
          <w:rtl/>
        </w:rPr>
        <w:t>:</w:t>
      </w:r>
    </w:p>
    <w:p w:rsidR="00EB48D9" w:rsidRDefault="00EB48D9" w:rsidP="00EB48D9">
      <w:pPr>
        <w:tabs>
          <w:tab w:val="left" w:pos="567"/>
        </w:tabs>
        <w:spacing w:line="360" w:lineRule="auto"/>
        <w:ind w:left="567" w:hanging="567"/>
        <w:jc w:val="both"/>
        <w:rPr>
          <w:rFonts w:ascii="David" w:hAnsi="David"/>
          <w:b/>
          <w:bCs/>
        </w:rPr>
      </w:pPr>
    </w:p>
    <w:p w:rsidR="00570148" w:rsidRPr="00254551" w:rsidRDefault="00570148" w:rsidP="005D7C89">
      <w:pPr>
        <w:pStyle w:val="ad"/>
        <w:numPr>
          <w:ilvl w:val="0"/>
          <w:numId w:val="1"/>
        </w:numPr>
        <w:tabs>
          <w:tab w:val="left" w:pos="567"/>
        </w:tabs>
        <w:spacing w:after="0" w:line="360" w:lineRule="auto"/>
        <w:ind w:left="567" w:hanging="567"/>
        <w:contextualSpacing w:val="0"/>
        <w:jc w:val="both"/>
        <w:rPr>
          <w:rFonts w:ascii="David" w:eastAsia="Times New Roman" w:hAnsi="David" w:cs="David"/>
          <w:b/>
          <w:bCs/>
          <w:sz w:val="24"/>
          <w:szCs w:val="24"/>
        </w:rPr>
      </w:pPr>
      <w:r>
        <w:rPr>
          <w:rFonts w:ascii="David" w:eastAsia="Times New Roman" w:hAnsi="David" w:cs="David"/>
          <w:sz w:val="24"/>
          <w:szCs w:val="24"/>
          <w:rtl/>
        </w:rPr>
        <w:t xml:space="preserve"> </w:t>
      </w:r>
      <w:r>
        <w:rPr>
          <w:rFonts w:ascii="David" w:eastAsia="Times New Roman" w:hAnsi="David" w:cs="David" w:hint="cs"/>
          <w:sz w:val="24"/>
          <w:szCs w:val="24"/>
          <w:rtl/>
        </w:rPr>
        <w:tab/>
        <w:t>חוק הירושה רואה לנגד עיניו שני סוגים של מערכות יחסים בין בני זוג המקימות זכות ירושה על פי דין. הסוג האחד, הוא "בני זוג" הזכאים לרשת מכוח קשר נישואין (סעיף 11 לחוק הירושה) והסוג השני, הוא בני זוג הזכאים לרשת מכוח חיי משפחה במשק בית משותף (סעיף 55 לחוק הירושה). המתנגדת אינה נכנסת בגדר אף אחד מהסעיפים הללו. מכאן, שעל אף כל ההבנה והרגישות למצבה של המתנגדת לאחר שקיימה קשר זוגי מתמשך עם המנוח, אין היא זכאית לרשת את המנוח על פי הדין.</w:t>
      </w:r>
    </w:p>
    <w:p w:rsidR="00254551" w:rsidRDefault="00254551" w:rsidP="00254551">
      <w:pPr>
        <w:pStyle w:val="ad"/>
        <w:tabs>
          <w:tab w:val="left" w:pos="567"/>
        </w:tabs>
        <w:spacing w:after="0" w:line="360" w:lineRule="auto"/>
        <w:ind w:left="567"/>
        <w:contextualSpacing w:val="0"/>
        <w:jc w:val="both"/>
        <w:rPr>
          <w:rFonts w:ascii="David" w:eastAsia="Times New Roman" w:hAnsi="David" w:cs="David"/>
          <w:b/>
          <w:bCs/>
          <w:sz w:val="24"/>
          <w:szCs w:val="24"/>
        </w:rPr>
      </w:pPr>
    </w:p>
    <w:p w:rsidR="00570148" w:rsidRPr="00254551" w:rsidRDefault="00570148" w:rsidP="005D7C89">
      <w:pPr>
        <w:pStyle w:val="ad"/>
        <w:numPr>
          <w:ilvl w:val="0"/>
          <w:numId w:val="1"/>
        </w:numPr>
        <w:tabs>
          <w:tab w:val="left" w:pos="567"/>
        </w:tabs>
        <w:spacing w:after="0" w:line="360" w:lineRule="auto"/>
        <w:ind w:left="567" w:hanging="567"/>
        <w:contextualSpacing w:val="0"/>
        <w:jc w:val="both"/>
        <w:rPr>
          <w:rFonts w:ascii="David" w:eastAsia="Times New Roman" w:hAnsi="David" w:cs="David"/>
          <w:b/>
          <w:bCs/>
          <w:sz w:val="24"/>
          <w:szCs w:val="24"/>
        </w:rPr>
      </w:pPr>
      <w:r>
        <w:rPr>
          <w:rFonts w:ascii="David" w:eastAsia="Times New Roman" w:hAnsi="David" w:cs="David"/>
          <w:sz w:val="24"/>
          <w:szCs w:val="24"/>
          <w:rtl/>
        </w:rPr>
        <w:t xml:space="preserve"> </w:t>
      </w:r>
      <w:r>
        <w:rPr>
          <w:rFonts w:ascii="David" w:eastAsia="Times New Roman" w:hAnsi="David" w:cs="David"/>
          <w:sz w:val="24"/>
          <w:szCs w:val="24"/>
          <w:rtl/>
        </w:rPr>
        <w:tab/>
        <w:t>אשר על כן ולאור כל המקובץ לעיל, הריני דוחה את ההתנגדות לבקשה למתן צו ירושה.</w:t>
      </w:r>
    </w:p>
    <w:p w:rsidR="00254551" w:rsidRPr="00254551" w:rsidRDefault="00254551" w:rsidP="00254551">
      <w:pPr>
        <w:tabs>
          <w:tab w:val="left" w:pos="567"/>
        </w:tabs>
        <w:spacing w:line="360" w:lineRule="auto"/>
        <w:jc w:val="both"/>
        <w:rPr>
          <w:rFonts w:ascii="David" w:hAnsi="David"/>
          <w:b/>
          <w:bCs/>
        </w:rPr>
      </w:pPr>
    </w:p>
    <w:p w:rsidR="00570148" w:rsidRDefault="00570148" w:rsidP="005D7C89">
      <w:pPr>
        <w:pStyle w:val="ad"/>
        <w:numPr>
          <w:ilvl w:val="0"/>
          <w:numId w:val="1"/>
        </w:numPr>
        <w:tabs>
          <w:tab w:val="left" w:pos="567"/>
        </w:tabs>
        <w:spacing w:after="0" w:line="360" w:lineRule="auto"/>
        <w:ind w:left="567" w:hanging="567"/>
        <w:contextualSpacing w:val="0"/>
        <w:jc w:val="both"/>
        <w:rPr>
          <w:rFonts w:ascii="David" w:eastAsia="Times New Roman" w:hAnsi="David" w:cs="David"/>
          <w:b/>
          <w:bCs/>
          <w:sz w:val="24"/>
          <w:szCs w:val="24"/>
        </w:rPr>
      </w:pPr>
      <w:r>
        <w:rPr>
          <w:rFonts w:ascii="David" w:eastAsia="Times New Roman" w:hAnsi="David" w:cs="David"/>
          <w:sz w:val="24"/>
          <w:szCs w:val="24"/>
          <w:rtl/>
        </w:rPr>
        <w:t xml:space="preserve"> </w:t>
      </w:r>
      <w:r>
        <w:rPr>
          <w:rFonts w:ascii="David" w:eastAsia="Times New Roman" w:hAnsi="David" w:cs="David"/>
          <w:sz w:val="24"/>
          <w:szCs w:val="24"/>
          <w:rtl/>
        </w:rPr>
        <w:tab/>
        <w:t xml:space="preserve">בקשת המשיבות למתן צו ירושה – מתקבלת. </w:t>
      </w:r>
    </w:p>
    <w:p w:rsidR="00570148" w:rsidRDefault="00570148" w:rsidP="005D7C89">
      <w:pPr>
        <w:pStyle w:val="ad"/>
        <w:tabs>
          <w:tab w:val="left" w:pos="567"/>
        </w:tabs>
        <w:spacing w:after="0" w:line="360" w:lineRule="auto"/>
        <w:ind w:left="567"/>
        <w:contextualSpacing w:val="0"/>
        <w:jc w:val="both"/>
        <w:rPr>
          <w:rFonts w:ascii="David" w:eastAsia="Times New Roman" w:hAnsi="David" w:cs="David"/>
          <w:sz w:val="24"/>
          <w:szCs w:val="24"/>
          <w:rtl/>
        </w:rPr>
      </w:pPr>
      <w:r>
        <w:rPr>
          <w:rFonts w:ascii="David" w:eastAsia="Times New Roman" w:hAnsi="David" w:cs="David"/>
          <w:sz w:val="24"/>
          <w:szCs w:val="24"/>
          <w:rtl/>
        </w:rPr>
        <w:t>ב"כ המשיבות יגיש, תוך 7 ימים, נוסח צו לחתימה בהתאם לטופס 4 לתקנות הירושה.</w:t>
      </w:r>
    </w:p>
    <w:p w:rsidR="00254551" w:rsidRDefault="00254551" w:rsidP="00254551">
      <w:pPr>
        <w:pStyle w:val="ad"/>
        <w:tabs>
          <w:tab w:val="left" w:pos="567"/>
        </w:tabs>
        <w:spacing w:after="0" w:line="360" w:lineRule="auto"/>
        <w:ind w:left="567"/>
        <w:contextualSpacing w:val="0"/>
        <w:jc w:val="both"/>
        <w:rPr>
          <w:rFonts w:ascii="David" w:eastAsia="Times New Roman" w:hAnsi="David" w:cs="David"/>
          <w:b/>
          <w:bCs/>
          <w:sz w:val="24"/>
          <w:szCs w:val="24"/>
        </w:rPr>
      </w:pPr>
    </w:p>
    <w:p w:rsidR="00570148" w:rsidRPr="00254551" w:rsidRDefault="00570148" w:rsidP="005D7C89">
      <w:pPr>
        <w:pStyle w:val="ad"/>
        <w:numPr>
          <w:ilvl w:val="0"/>
          <w:numId w:val="1"/>
        </w:numPr>
        <w:tabs>
          <w:tab w:val="left" w:pos="567"/>
        </w:tabs>
        <w:spacing w:after="0" w:line="360" w:lineRule="auto"/>
        <w:ind w:left="567" w:hanging="567"/>
        <w:contextualSpacing w:val="0"/>
        <w:jc w:val="both"/>
        <w:rPr>
          <w:rFonts w:ascii="David" w:eastAsia="Times New Roman" w:hAnsi="David" w:cs="David"/>
          <w:b/>
          <w:bCs/>
          <w:sz w:val="24"/>
          <w:szCs w:val="24"/>
        </w:rPr>
      </w:pPr>
      <w:r>
        <w:rPr>
          <w:rFonts w:ascii="David" w:eastAsia="Times New Roman" w:hAnsi="David" w:cs="David"/>
          <w:sz w:val="24"/>
          <w:szCs w:val="24"/>
          <w:rtl/>
        </w:rPr>
        <w:t xml:space="preserve"> </w:t>
      </w:r>
      <w:r>
        <w:rPr>
          <w:rFonts w:ascii="David" w:eastAsia="Times New Roman" w:hAnsi="David" w:cs="David"/>
          <w:sz w:val="24"/>
          <w:szCs w:val="24"/>
          <w:rtl/>
        </w:rPr>
        <w:tab/>
        <w:t xml:space="preserve">בהביאני בחשבון את מהות התובענה והמשאבים שנדרשו לשם ניהולה מחד ואת התנהלות הצדדים מאידך, לרבות הסכמת המתנגדת לקבל הצעת בית המשפט לסיום ההליך, מצאתי לחייב המתנגדת בהוצאות המשיבות בסך 20,000 ₪, אשר ישולמו תוך 30 ימים. </w:t>
      </w:r>
    </w:p>
    <w:p w:rsidR="00254551" w:rsidRDefault="00254551" w:rsidP="00254551">
      <w:pPr>
        <w:pStyle w:val="ad"/>
        <w:tabs>
          <w:tab w:val="left" w:pos="567"/>
        </w:tabs>
        <w:spacing w:after="0" w:line="360" w:lineRule="auto"/>
        <w:ind w:left="567"/>
        <w:contextualSpacing w:val="0"/>
        <w:jc w:val="both"/>
        <w:rPr>
          <w:rFonts w:ascii="David" w:eastAsia="Times New Roman" w:hAnsi="David" w:cs="David"/>
          <w:b/>
          <w:bCs/>
          <w:sz w:val="24"/>
          <w:szCs w:val="24"/>
        </w:rPr>
      </w:pPr>
    </w:p>
    <w:p w:rsidR="00570148" w:rsidRDefault="00570148" w:rsidP="005D7C89">
      <w:pPr>
        <w:pStyle w:val="ad"/>
        <w:numPr>
          <w:ilvl w:val="0"/>
          <w:numId w:val="1"/>
        </w:numPr>
        <w:tabs>
          <w:tab w:val="left" w:pos="567"/>
        </w:tabs>
        <w:spacing w:after="0" w:line="360" w:lineRule="auto"/>
        <w:ind w:left="567" w:hanging="567"/>
        <w:contextualSpacing w:val="0"/>
        <w:jc w:val="both"/>
        <w:rPr>
          <w:rFonts w:ascii="David" w:eastAsia="Times New Roman" w:hAnsi="David" w:cs="David"/>
          <w:b/>
          <w:bCs/>
          <w:sz w:val="24"/>
          <w:szCs w:val="24"/>
        </w:rPr>
      </w:pPr>
      <w:r>
        <w:rPr>
          <w:rFonts w:ascii="David" w:eastAsia="Times New Roman" w:hAnsi="David" w:cs="David"/>
          <w:sz w:val="24"/>
          <w:szCs w:val="24"/>
          <w:rtl/>
        </w:rPr>
        <w:t xml:space="preserve"> </w:t>
      </w:r>
      <w:r>
        <w:rPr>
          <w:rFonts w:ascii="David" w:eastAsia="Times New Roman" w:hAnsi="David" w:cs="David"/>
          <w:sz w:val="24"/>
          <w:szCs w:val="24"/>
          <w:rtl/>
        </w:rPr>
        <w:tab/>
        <w:t>פסק הדין מותר לפרסום תוך השמטת שמות ופרטים מזהים אחרים.</w:t>
      </w:r>
    </w:p>
    <w:p w:rsidR="000F536B" w:rsidRPr="000F536B" w:rsidRDefault="000F536B" w:rsidP="000F536B">
      <w:pPr>
        <w:pStyle w:val="ad"/>
        <w:rPr>
          <w:rFonts w:ascii="David" w:eastAsia="Times New Roman" w:hAnsi="David" w:cs="David"/>
          <w:b/>
          <w:bCs/>
          <w:sz w:val="24"/>
          <w:szCs w:val="24"/>
          <w:rtl/>
        </w:rPr>
      </w:pPr>
    </w:p>
    <w:p w:rsidR="000F536B" w:rsidRPr="00254551" w:rsidRDefault="000F536B" w:rsidP="005D7C89">
      <w:pPr>
        <w:pStyle w:val="ad"/>
        <w:numPr>
          <w:ilvl w:val="0"/>
          <w:numId w:val="1"/>
        </w:numPr>
        <w:tabs>
          <w:tab w:val="left" w:pos="567"/>
        </w:tabs>
        <w:spacing w:after="0" w:line="360" w:lineRule="auto"/>
        <w:ind w:left="567" w:hanging="567"/>
        <w:contextualSpacing w:val="0"/>
        <w:jc w:val="both"/>
        <w:rPr>
          <w:rFonts w:ascii="David" w:eastAsia="Times New Roman" w:hAnsi="David" w:cs="David"/>
          <w:b/>
          <w:bCs/>
          <w:sz w:val="24"/>
          <w:szCs w:val="24"/>
        </w:rPr>
      </w:pPr>
      <w:r>
        <w:rPr>
          <w:rFonts w:ascii="David" w:eastAsia="Times New Roman" w:hAnsi="David" w:cs="David" w:hint="cs"/>
          <w:b/>
          <w:bCs/>
          <w:sz w:val="24"/>
          <w:szCs w:val="24"/>
          <w:rtl/>
        </w:rPr>
        <w:t xml:space="preserve"> </w:t>
      </w:r>
      <w:r>
        <w:rPr>
          <w:rFonts w:ascii="David" w:eastAsia="Times New Roman" w:hAnsi="David" w:cs="David"/>
          <w:b/>
          <w:bCs/>
          <w:sz w:val="24"/>
          <w:szCs w:val="24"/>
          <w:rtl/>
        </w:rPr>
        <w:tab/>
      </w:r>
      <w:r>
        <w:rPr>
          <w:rFonts w:ascii="David" w:eastAsia="Times New Roman" w:hAnsi="David" w:cs="David" w:hint="cs"/>
          <w:sz w:val="24"/>
          <w:szCs w:val="24"/>
          <w:rtl/>
        </w:rPr>
        <w:t>המזכירות תמציא פסק הדין לב"כ הצדדים ותסגור את התיק.</w:t>
      </w:r>
    </w:p>
    <w:p w:rsidR="00694556" w:rsidRDefault="00694556" w:rsidP="005D7C89">
      <w:pPr>
        <w:spacing w:line="360" w:lineRule="auto"/>
        <w:jc w:val="both"/>
        <w:rPr>
          <w:rFonts w:ascii="Arial" w:hAnsi="Arial"/>
          <w:noProof w:val="0"/>
          <w:rtl/>
        </w:rPr>
      </w:pPr>
    </w:p>
    <w:p w:rsidR="005B0F49" w:rsidRDefault="00005C8B" w:rsidP="00EB48D9">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י"ג אלול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16 ספטמבר 2024</w:t>
          </w:r>
        </w:sdtContent>
      </w:sdt>
      <w:r>
        <w:rPr>
          <w:rFonts w:ascii="Arial" w:hAnsi="Arial"/>
          <w:noProof w:val="0"/>
          <w:rtl/>
        </w:rPr>
        <w:t>, בהעדר הצדדים.</w:t>
      </w:r>
      <w:r w:rsidR="005B0F49">
        <w:rPr>
          <w:rFonts w:ascii="Arial" w:hAnsi="Arial" w:hint="cs"/>
          <w:noProof w:val="0"/>
          <w:rtl/>
        </w:rPr>
        <w:tab/>
      </w:r>
      <w:r w:rsidR="005B0F49">
        <w:rPr>
          <w:rFonts w:ascii="Arial" w:hAnsi="Arial" w:hint="cs"/>
          <w:noProof w:val="0"/>
          <w:rtl/>
        </w:rPr>
        <w:tab/>
      </w:r>
      <w:r w:rsidR="005B0F49">
        <w:rPr>
          <w:rFonts w:ascii="Arial" w:hAnsi="Arial" w:hint="cs"/>
          <w:noProof w:val="0"/>
          <w:rtl/>
        </w:rPr>
        <w:tab/>
      </w:r>
      <w:r w:rsidR="005B0F49">
        <w:rPr>
          <w:rFonts w:ascii="Arial" w:hAnsi="Arial" w:hint="cs"/>
          <w:noProof w:val="0"/>
          <w:rtl/>
        </w:rPr>
        <w:tab/>
      </w:r>
      <w:r w:rsidR="005B0F49">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sidR="005B0F49">
        <w:rPr>
          <w:rFonts w:ascii="Arial" w:hAnsi="Arial" w:hint="cs"/>
          <w:noProof w:val="0"/>
          <w:rtl/>
        </w:rPr>
        <w:tab/>
      </w:r>
      <w:r w:rsidR="005B0F49">
        <w:rPr>
          <w:rFonts w:ascii="Arial" w:hAnsi="Arial" w:hint="cs"/>
          <w:noProof w:val="0"/>
          <w:rtl/>
        </w:rPr>
        <w:tab/>
      </w:r>
      <w:r w:rsidR="00633C4F">
        <w:rPr>
          <w:rFonts w:ascii="Arial" w:hAnsi="Arial"/>
          <w:noProof w:val="0"/>
          <w:rtl/>
        </w:rPr>
        <w:t xml:space="preserve"> </w:t>
      </w:r>
    </w:p>
    <w:p w:rsidR="00694556" w:rsidRDefault="00B739AA" w:rsidP="000F536B">
      <w:pPr>
        <w:spacing w:line="360" w:lineRule="auto"/>
        <w:ind w:left="3600" w:firstLine="720"/>
      </w:pPr>
      <w:sdt>
        <w:sdtPr>
          <w:rPr>
            <w:rtl/>
          </w:rPr>
          <w:alias w:val="MergeField"/>
          <w:tag w:val="1237"/>
          <w:id w:val="1895002367"/>
        </w:sdtPr>
        <w:sdtEndPr/>
        <w:sdtContent>
          <w:r w:rsidR="00E22F60">
            <w:drawing>
              <wp:inline distT="0" distB="0" distL="0" distR="0" wp14:editId="50D07946">
                <wp:extent cx="1171575" cy="9239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3" cstate="print">
                          <a:extLst/>
                        </a:blip>
                        <a:stretch>
                          <a:fillRect/>
                        </a:stretch>
                      </pic:blipFill>
                      <pic:spPr>
                        <a:xfrm>
                          <a:off x="0" y="0"/>
                          <a:ext cx="1171575" cy="923924"/>
                        </a:xfrm>
                        <a:prstGeom prst="rect">
                          <a:avLst/>
                        </a:prstGeom>
                      </pic:spPr>
                    </pic:pic>
                  </a:graphicData>
                </a:graphic>
              </wp:inline>
            </w:drawing>
          </w:r>
        </w:sdtContent>
      </w:sdt>
    </w:p>
    <w:p w:rsidR="00694556" w:rsidRDefault="00694556" w:rsidP="000F536B">
      <w:pPr>
        <w:spacing w:line="360" w:lineRule="auto"/>
        <w:ind w:left="3600" w:firstLine="720"/>
        <w:rPr>
          <w:rFonts w:ascii="Arial" w:hAnsi="Arial"/>
          <w:noProof w:val="0"/>
          <w:rtl/>
        </w:rPr>
      </w:pPr>
    </w:p>
    <w:sectPr w:rsidR="00694556" w:rsidSect="00903896">
      <w:headerReference w:type="default" r:id="rId14"/>
      <w:footerReference w:type="defaul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39AA" w:rsidRDefault="00B739AA">
      <w:r>
        <w:separator/>
      </w:r>
    </w:p>
  </w:endnote>
  <w:endnote w:type="continuationSeparator" w:id="0">
    <w:p w:rsidR="00B739AA" w:rsidRDefault="00B73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739A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739AA">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39AA" w:rsidRDefault="00B739AA">
      <w:r>
        <w:separator/>
      </w:r>
    </w:p>
  </w:footnote>
  <w:footnote w:type="continuationSeparator" w:id="0">
    <w:p w:rsidR="00B739AA" w:rsidRDefault="00B73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בבאר שבע</w:t>
          </w:r>
        </w:p>
      </w:tc>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957C90" w:rsidRPr="00957C90" w:rsidRDefault="00FB3C14" w:rsidP="00A64892">
          <w:pPr>
            <w:rPr>
              <w:b/>
              <w:bCs/>
              <w:noProof w:val="0"/>
              <w:sz w:val="26"/>
              <w:szCs w:val="26"/>
              <w:rtl/>
            </w:rPr>
          </w:pPr>
          <w:r>
            <w:rPr>
              <w:b/>
              <w:bCs/>
              <w:noProof w:val="0"/>
              <w:sz w:val="26"/>
              <w:szCs w:val="26"/>
              <w:rtl/>
            </w:rPr>
            <w:t>ת"ע</w:t>
          </w:r>
          <w:r w:rsidR="00005C8B">
            <w:rPr>
              <w:b/>
              <w:bCs/>
              <w:noProof w:val="0"/>
              <w:sz w:val="26"/>
              <w:szCs w:val="26"/>
              <w:rtl/>
            </w:rPr>
            <w:t xml:space="preserve"> </w:t>
          </w:r>
          <w:bookmarkStart w:id="0" w:name="_GoBack"/>
          <w:r>
            <w:rPr>
              <w:b/>
              <w:bCs/>
              <w:noProof w:val="0"/>
              <w:sz w:val="26"/>
              <w:szCs w:val="26"/>
              <w:rtl/>
            </w:rPr>
            <w:t>19786-10-20</w:t>
          </w:r>
          <w:bookmarkEnd w:id="0"/>
          <w:r w:rsidR="00005C8B">
            <w:rPr>
              <w:b/>
              <w:bCs/>
              <w:noProof w:val="0"/>
              <w:sz w:val="26"/>
              <w:szCs w:val="26"/>
              <w:rtl/>
            </w:rPr>
            <w:t xml:space="preserve"> </w:t>
          </w:r>
          <w:r w:rsidR="00A64892">
            <w:rPr>
              <w:rFonts w:hint="cs"/>
              <w:b/>
              <w:bCs/>
              <w:noProof w:val="0"/>
              <w:sz w:val="26"/>
              <w:szCs w:val="26"/>
              <w:rtl/>
            </w:rPr>
            <w:t>פלונית נ' ה.ש ואח'</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225636"/>
    <w:multiLevelType w:val="hybridMultilevel"/>
    <w:tmpl w:val="26B0B9FE"/>
    <w:lvl w:ilvl="0" w:tplc="3B20BD56">
      <w:start w:val="1"/>
      <w:numFmt w:val="decimal"/>
      <w:suff w:val="space"/>
      <w:lvlText w:val="%1."/>
      <w:lvlJc w:val="left"/>
      <w:pPr>
        <w:ind w:left="2061" w:hanging="360"/>
      </w:pPr>
      <w:rPr>
        <w:rFonts w:ascii="David" w:hAnsi="David" w:cs="David" w:hint="default"/>
        <w:b w:val="0"/>
        <w:bCs w:val="0"/>
        <w:color w:val="auto"/>
        <w:lang w:val="en-US"/>
      </w:rPr>
    </w:lvl>
    <w:lvl w:ilvl="1" w:tplc="04090019">
      <w:start w:val="1"/>
      <w:numFmt w:val="lowerLetter"/>
      <w:lvlText w:val="%2."/>
      <w:lvlJc w:val="left"/>
      <w:pPr>
        <w:ind w:left="2781" w:hanging="360"/>
      </w:pPr>
    </w:lvl>
    <w:lvl w:ilvl="2" w:tplc="0409001B">
      <w:start w:val="1"/>
      <w:numFmt w:val="lowerRoman"/>
      <w:lvlText w:val="%3."/>
      <w:lvlJc w:val="right"/>
      <w:pPr>
        <w:ind w:left="3501" w:hanging="180"/>
      </w:pPr>
    </w:lvl>
    <w:lvl w:ilvl="3" w:tplc="0409000F">
      <w:start w:val="1"/>
      <w:numFmt w:val="decimal"/>
      <w:lvlText w:val="%4."/>
      <w:lvlJc w:val="left"/>
      <w:pPr>
        <w:ind w:left="4221" w:hanging="360"/>
      </w:pPr>
    </w:lvl>
    <w:lvl w:ilvl="4" w:tplc="04090019">
      <w:start w:val="1"/>
      <w:numFmt w:val="lowerLetter"/>
      <w:lvlText w:val="%5."/>
      <w:lvlJc w:val="left"/>
      <w:pPr>
        <w:ind w:left="4941" w:hanging="360"/>
      </w:pPr>
    </w:lvl>
    <w:lvl w:ilvl="5" w:tplc="0409001B">
      <w:start w:val="1"/>
      <w:numFmt w:val="lowerRoman"/>
      <w:lvlText w:val="%6."/>
      <w:lvlJc w:val="right"/>
      <w:pPr>
        <w:ind w:left="5661" w:hanging="180"/>
      </w:pPr>
    </w:lvl>
    <w:lvl w:ilvl="6" w:tplc="0409000F">
      <w:start w:val="1"/>
      <w:numFmt w:val="decimal"/>
      <w:lvlText w:val="%7."/>
      <w:lvlJc w:val="left"/>
      <w:pPr>
        <w:ind w:left="6381" w:hanging="360"/>
      </w:pPr>
    </w:lvl>
    <w:lvl w:ilvl="7" w:tplc="04090019">
      <w:start w:val="1"/>
      <w:numFmt w:val="lowerLetter"/>
      <w:lvlText w:val="%8."/>
      <w:lvlJc w:val="left"/>
      <w:pPr>
        <w:ind w:left="7101" w:hanging="360"/>
      </w:pPr>
    </w:lvl>
    <w:lvl w:ilvl="8" w:tplc="0409001B">
      <w:start w:val="1"/>
      <w:numFmt w:val="lowerRoman"/>
      <w:lvlText w:val="%9."/>
      <w:lvlJc w:val="right"/>
      <w:pPr>
        <w:ind w:left="7821"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77421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774218&amp;lt;/CaseID&amp;gt;_x000d__x000a_        &amp;lt;CaseMonth&amp;gt;10&amp;lt;/CaseMonth&amp;gt;_x000d__x000a_        &amp;lt;CaseYear&amp;gt;2020&amp;lt;/CaseYear&amp;gt;_x000d__x000a_        &amp;lt;CaseNumber&amp;gt;19786&amp;lt;/CaseNumber&amp;gt;_x000d__x000a_        &amp;lt;NumeratorGroupID&amp;gt;1&amp;lt;/NumeratorGroupID&amp;gt;_x000d__x000a_        &amp;lt;CaseName&amp;gt;אורלייניס נ&amp;#39; הר שגיא ואח&amp;#39;&amp;lt;/CaseName&amp;gt;_x000d__x000a_        &amp;lt;CourtID&amp;gt;41&amp;lt;/CourtID&amp;gt;_x000d__x000a_        &amp;lt;CaseTypeID&amp;gt;86&amp;lt;/CaseTypeID&amp;gt;_x000d__x000a_        &amp;lt;CaseInterestID&amp;gt;161&amp;lt;/CaseInterestID&amp;gt;_x000d__x000a_        &amp;lt;CaseJudgeName&amp;gt;שני כ&amp;quot;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9786-10-20&amp;lt;/CaseDisplayIdentifier&amp;gt;_x000d__x000a_        &amp;lt;CaseTypeDesc&amp;gt;ת&amp;quot;ע&amp;lt;/CaseTypeDesc&amp;gt;_x000d__x000a_        &amp;lt;CourtDesc&amp;gt;שלום באר שבע&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4-23T10:00:00+03:00&amp;lt;/CasePreviousSessionDate&amp;gt;_x000d__x000a_        &amp;lt;CaseNextDeterminingTask&amp;gt;34&amp;lt;/CaseNextDeterminingTask&amp;gt;_x000d__x000a_        &amp;lt;TemporaryAidStatus /&amp;gt;_x000d__x000a_        &amp;lt;CaseOpenDate&amp;gt;2020-10-13T09:25:00+03: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שני&amp;lt;/CaseJudgeFirstName&amp;gt;_x000d__x000a_        &amp;lt;CaseJudgeLastName&amp;gt;כ&amp;quot;ץ&amp;lt;/CaseJudgeLastName&amp;gt;_x000d__x000a_        &amp;lt;JudicalPersonID&amp;gt;04036084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ודעה בצירוף דיסק און קי העברה לכב&amp;#39; השופט שמואל._x000d__x000a_ליטל&amp;lt;/CaseDesc&amp;gt;_x000d__x000a_        &amp;lt;isExistMinorSide&amp;gt;false&amp;lt;/isExistMinorSide&amp;gt;_x000d__x000a_        &amp;lt;isExistMinorWitness&amp;gt;false&amp;lt;/isExistMinorWitness&amp;gt;_x000d__x000a_        &amp;lt;CasePreviousSessionTypeID&amp;gt;2&amp;lt;/CasePreviousSessionTypeID&amp;gt;_x000d__x000a_        &amp;lt;CasePermitStatus&amp;gt;1&amp;lt;/CasePermitStatu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774218&amp;lt;/CaseID&amp;gt;_x000d__x000a_        &amp;lt;CaseMonth&amp;gt;10&amp;lt;/CaseMonth&amp;gt;_x000d__x000a_        &amp;lt;CaseYear&amp;gt;2020&amp;lt;/CaseYear&amp;gt;_x000d__x000a_        &amp;lt;CaseNumber&amp;gt;19786&amp;lt;/CaseNumber&amp;gt;_x000d__x000a_        &amp;lt;NumeratorGroupID&amp;gt;1&amp;lt;/NumeratorGroupID&amp;gt;_x000d__x000a_        &amp;lt;CaseName&amp;gt;אורלייניס נ&amp;#39; הר שגיא ואח&amp;#39;&amp;lt;/CaseName&amp;gt;_x000d__x000a_        &amp;lt;CourtID&amp;gt;41&amp;lt;/CourtID&amp;gt;_x000d__x000a_        &amp;lt;CaseTypeID&amp;gt;86&amp;lt;/CaseTypeID&amp;gt;_x000d__x000a_        &amp;lt;CaseInterestID&amp;gt;161&amp;lt;/CaseInterestID&amp;gt;_x000d__x000a_        &amp;lt;CaseJudgeName&amp;gt;שני כ&amp;quot;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9786-10-20&amp;lt;/CaseDisplayIdentifier&amp;gt;_x000d__x000a_        &amp;lt;CaseTypeDesc&amp;gt;ת&amp;quot;ע&amp;lt;/CaseTypeDesc&amp;gt;_x000d__x000a_        &amp;lt;CourtDesc&amp;gt;שלום באר שבע&amp;lt;/CourtDesc&amp;gt;_x000d__x000a_        &amp;lt;CaseStageDesc&amp;gt;תיק אלקטרוני&amp;lt;/CaseStageDesc&amp;gt;_x000d__x000a_        &amp;lt;CaseNextDeterminingTask&amp;gt;34&amp;lt;/CaseNextDeterminingTask&amp;gt;_x000d__x000a_        &amp;lt;CaseOpenDate&amp;gt;2020-10-13T09:25:00+03: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שני&amp;lt;/CaseJudgeFirstName&amp;gt;_x000d__x000a_        &amp;lt;CaseJudgeLastName&amp;gt;כ&amp;quot;ץ&amp;lt;/CaseJudgeLastName&amp;gt;_x000d__x000a_        &amp;lt;JudicalPersonID&amp;gt;04036084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ודעה בצירוף דיסק און קי העברה לכב&amp;#39; השופט שמואל._x000d__x000a_ליטל&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9-16T10:17:53.695766+03:00&amp;lt;/DecisionStatusChangeDate&amp;gt;_x000d__x000a_        &amp;lt;DecisionSignatureDate&amp;gt;2024-09-16T10:17:53.695766+03:00&amp;lt;/DecisionSignatureDate&amp;gt;_x000d__x000a_        &amp;lt;DecisionSignatureUserID&amp;gt;040360844@GOV.IL&amp;lt;/DecisionSignatureUserID&amp;gt;_x000d__x000a_        &amp;lt;DecisionCreateDate&amp;gt;2024-09-16T10:17:53.695766+03:00&amp;lt;/DecisionCreateDate&amp;gt;_x000d__x000a_        &amp;lt;DecisionChangeDate&amp;gt;2024-09-16T10:17:53.695766+03:00&amp;lt;/DecisionChangeDate&amp;gt;_x000d__x000a_        &amp;lt;DecisionChangeUserID&amp;gt;040360844@GOV.IL&amp;lt;/DecisionChangeUserID&amp;gt;_x000d__x000a_        &amp;lt;IsChosenDecision&amp;gt;tru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4036084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0360844@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3&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7774218&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61"/>
    <w:docVar w:name="NGCS.TemplateCaseTypeID" w:val="86"/>
    <w:docVar w:name="NGCS.TemplateCategoryID" w:val="80"/>
    <w:docVar w:name="NGCS.TemplateCourtID" w:val="41"/>
    <w:docVar w:name="NGCS.TemplateProceedingID" w:val="3"/>
    <w:docVar w:name="SelectedDocumentID" w:val="352846544"/>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C4865"/>
    <w:rsid w:val="000C6B73"/>
    <w:rsid w:val="000D4A02"/>
    <w:rsid w:val="000F536B"/>
    <w:rsid w:val="001072A9"/>
    <w:rsid w:val="00121F97"/>
    <w:rsid w:val="001277D7"/>
    <w:rsid w:val="00132017"/>
    <w:rsid w:val="0014234E"/>
    <w:rsid w:val="00145A87"/>
    <w:rsid w:val="00153893"/>
    <w:rsid w:val="001C4003"/>
    <w:rsid w:val="001F5474"/>
    <w:rsid w:val="002352F7"/>
    <w:rsid w:val="0024464C"/>
    <w:rsid w:val="00254551"/>
    <w:rsid w:val="0027277D"/>
    <w:rsid w:val="00285EED"/>
    <w:rsid w:val="00381D3A"/>
    <w:rsid w:val="003823DA"/>
    <w:rsid w:val="003C1D8E"/>
    <w:rsid w:val="003C7FE1"/>
    <w:rsid w:val="0043595F"/>
    <w:rsid w:val="00447236"/>
    <w:rsid w:val="0047645A"/>
    <w:rsid w:val="004D49A3"/>
    <w:rsid w:val="004D50AC"/>
    <w:rsid w:val="004E25EB"/>
    <w:rsid w:val="004E6E3C"/>
    <w:rsid w:val="005124F1"/>
    <w:rsid w:val="00530BAD"/>
    <w:rsid w:val="00541598"/>
    <w:rsid w:val="00547DB7"/>
    <w:rsid w:val="00567324"/>
    <w:rsid w:val="00570148"/>
    <w:rsid w:val="00590F00"/>
    <w:rsid w:val="00594C93"/>
    <w:rsid w:val="005B0F49"/>
    <w:rsid w:val="005C7EC6"/>
    <w:rsid w:val="005D4BDB"/>
    <w:rsid w:val="005D4D8C"/>
    <w:rsid w:val="005D7C89"/>
    <w:rsid w:val="00622BAA"/>
    <w:rsid w:val="00625C89"/>
    <w:rsid w:val="00633C4F"/>
    <w:rsid w:val="00671BD5"/>
    <w:rsid w:val="006805C1"/>
    <w:rsid w:val="006816EC"/>
    <w:rsid w:val="00694556"/>
    <w:rsid w:val="006A03CB"/>
    <w:rsid w:val="006E1A53"/>
    <w:rsid w:val="007056AA"/>
    <w:rsid w:val="00744F41"/>
    <w:rsid w:val="00747A56"/>
    <w:rsid w:val="007A24FE"/>
    <w:rsid w:val="007A35AA"/>
    <w:rsid w:val="007F1048"/>
    <w:rsid w:val="00820005"/>
    <w:rsid w:val="008307F8"/>
    <w:rsid w:val="00846D27"/>
    <w:rsid w:val="00851E06"/>
    <w:rsid w:val="008610A7"/>
    <w:rsid w:val="008A2D63"/>
    <w:rsid w:val="008E1332"/>
    <w:rsid w:val="008F52E6"/>
    <w:rsid w:val="00903896"/>
    <w:rsid w:val="00927813"/>
    <w:rsid w:val="00944D13"/>
    <w:rsid w:val="00957C90"/>
    <w:rsid w:val="00985BC6"/>
    <w:rsid w:val="009A6859"/>
    <w:rsid w:val="009B70F6"/>
    <w:rsid w:val="009C358E"/>
    <w:rsid w:val="009D3044"/>
    <w:rsid w:val="009E0263"/>
    <w:rsid w:val="00A267CF"/>
    <w:rsid w:val="00A342BD"/>
    <w:rsid w:val="00A43458"/>
    <w:rsid w:val="00A64892"/>
    <w:rsid w:val="00A96D0B"/>
    <w:rsid w:val="00AC4E19"/>
    <w:rsid w:val="00AE4379"/>
    <w:rsid w:val="00AF1ED6"/>
    <w:rsid w:val="00B07577"/>
    <w:rsid w:val="00B32C61"/>
    <w:rsid w:val="00B368FE"/>
    <w:rsid w:val="00B739AA"/>
    <w:rsid w:val="00B80CBD"/>
    <w:rsid w:val="00BC3369"/>
    <w:rsid w:val="00BF77EE"/>
    <w:rsid w:val="00C32E0F"/>
    <w:rsid w:val="00C42BF9"/>
    <w:rsid w:val="00C83E56"/>
    <w:rsid w:val="00CA3BF4"/>
    <w:rsid w:val="00CC63CE"/>
    <w:rsid w:val="00D319B3"/>
    <w:rsid w:val="00D36A71"/>
    <w:rsid w:val="00D53924"/>
    <w:rsid w:val="00D54E89"/>
    <w:rsid w:val="00D60849"/>
    <w:rsid w:val="00D96D8C"/>
    <w:rsid w:val="00DA755B"/>
    <w:rsid w:val="00DD337E"/>
    <w:rsid w:val="00E00B6F"/>
    <w:rsid w:val="00E22F60"/>
    <w:rsid w:val="00E44DDF"/>
    <w:rsid w:val="00E54642"/>
    <w:rsid w:val="00E97908"/>
    <w:rsid w:val="00EB42C4"/>
    <w:rsid w:val="00EB48D9"/>
    <w:rsid w:val="00EF3ED0"/>
    <w:rsid w:val="00F1234D"/>
    <w:rsid w:val="00F17E56"/>
    <w:rsid w:val="00F87ACB"/>
    <w:rsid w:val="00F962E3"/>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basedOn w:val="a0"/>
    <w:uiPriority w:val="99"/>
    <w:semiHidden/>
    <w:unhideWhenUsed/>
    <w:rsid w:val="00570148"/>
    <w:rPr>
      <w:color w:val="0000FF"/>
      <w:u w:val="single"/>
    </w:rPr>
  </w:style>
  <w:style w:type="paragraph" w:styleId="ad">
    <w:name w:val="List Paragraph"/>
    <w:basedOn w:val="a"/>
    <w:uiPriority w:val="34"/>
    <w:qFormat/>
    <w:rsid w:val="00570148"/>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ruller4">
    <w:name w:val="ruller4"/>
    <w:basedOn w:val="a"/>
    <w:rsid w:val="00570148"/>
    <w:pPr>
      <w:bidi w:val="0"/>
      <w:spacing w:before="100" w:beforeAutospacing="1" w:after="100" w:afterAutospacing="1"/>
    </w:pPr>
    <w:rPr>
      <w:rFonts w:cs="Times New Roman"/>
      <w:noProof w:val="0"/>
    </w:rPr>
  </w:style>
  <w:style w:type="paragraph" w:customStyle="1" w:styleId="ruller5">
    <w:name w:val="ruller5"/>
    <w:basedOn w:val="a"/>
    <w:rsid w:val="00570148"/>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4377837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nevo.co.il/law/72178" TargetMode="Externa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law/72178/11"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nevo.co.il/law/72178" TargetMode="External"/><Relationship Id="rId4" Type="http://schemas.openxmlformats.org/officeDocument/2006/relationships/styles" Target="styles.xml"/><Relationship Id="rId9" Type="http://schemas.openxmlformats.org/officeDocument/2006/relationships/hyperlink" Target="http://www.nevo.co.il/law/72178/2C"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531517"/>
    <w:rsid w:val="005F02DA"/>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77774218</CaseID>
    <CaseJudicialPersonPresentationDS>
      <CaseJudicalPersonActive>
        <CaseID>77774218</CaseID>
        <JudicialPersonID>040360844@GOV.IL</JudicialPersonID>
        <JudicialPersonTypeID>1</JudicialPersonTypeID>
        <JudicialTypeID>1</JudicialTypeID>
        <IsChairman>false</IsChairman>
        <TreatmentStartDate>2022-03-09T08:00:00+02:00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iesSelectionDS>
      <CaseParties>
        <PartyTypeName>עד</PartyTypeName>
        <ProceedingType>כתב טענות עיקרי</ProceedingType>
        <PleaName>כתב התנגדות בעזבונות</PleaName>
        <PartyBelonging> - </PartyBelonging>
        <RoleName>עד בית משפט </RoleName>
        <IsSubProceeding>FALSE</IsSubProceeding>
        <FullName>עו"ד דן מלכיאלי</FullName>
        <FirstName>עו"ד</FirstName>
        <LastName>דן מלכיאלי</LastName>
        <PartyPropertyName/>
        <AuthenticationTypeAndNumber>ת"ז </AuthenticationTypeAndNumber>
        <RepresentatedOrRepresentativesNames/>
        <RepresentatedOrRepresentativesCount>0</RepresentatedOrRepresentativesCount>
        <InvitedBy/>
        <CaseID>77774218</CaseID>
        <CaseJudicialPersonPresentationDS>
          <CaseJudicalPersonActive>
            <CaseID>77774218</CaseID>
            <JudicialPersonID>040360844@GOV.IL</JudicialPersonID>
            <JudicialPersonTypeID>1</JudicialPersonTypeID>
            <JudicialTypeID>1</JudicialTypeID>
            <IsChairman>false</IsChairman>
            <TreatmentStartDate>2022-03-09T08:00:00+02:00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229733339</CasePartyID>
        <PartyTypeID>4</PartyTypeID>
        <ActivityStatusID>1</ActivityStatusID>
        <PartyAliasID>101</PartyAliasID>
        <PartyAliasName>עד בית משפט</PartyAliasName>
        <LegalEntityID>79921736</LegalEntityID>
        <CaseLegalEntityID>116279490</CaseLegalEntityID>
        <AuthenticationTypeID>1</AuthenticationTypeID>
        <AuthenticationTypeName>ת"ז</AuthenticationTypeName>
        <IsMainPartyType>true</IsMainPartyType>
        <CaseDisplayIdentifier>19786-10-20</CaseDisplayIdentifier>
        <CaseTypeID>86</CaseTypeID>
        <CaseTypeName>תיק עזבונות (ת"ע)</CaseTypeName>
        <CaseName>אורלייניס נ' הר שגיא ואח'</CaseName>
        <FullAddress>באמצעות ב"כ המבקשת  .</FullAddress>
        <MotionID>0</MotionID>
        <CasePleaID>0</CasePleaID>
        <LinkedCaseID>0</LinkedCaseID>
        <PartyID>1</PartyID>
        <CasePartyCategoryID>2</CasePartyCategoryID>
        <LegalEntityAddressID>85470935</LegalEntityAddressID>
        <PleaTypeID>253</PleaTypeID>
        <GroupPartyAlias/>
        <IsConverted>false</IsConverted>
        <LegalEntityNameID>91760727</LegalEntityNameID>
        <RepresentatedNamesOfAssistant/>
        <LegalEntityTypeID>1</LegalEntityTypeID>
        <IsVerdictExists>false</IsVerdictExists>
        <IsAsirAzir>false</IsAsirAzir>
        <MainAndSecSpec/>
        <IsPublicationProhibited>false</IsPublicationProhibited>
        <PublicationProhibitedFullName>עו"ד דן מלכיאלי</PublicationProhibitedFullName>
      </CaseParties>
      <CaseParties>
        <PartyTypeName>מסייע</PartyTypeName>
        <ProceedingType>כתב טענות עיקרי</ProceedingType>
        <PleaName>כתב התנגדות בעזבונות</PleaName>
        <PartyBelonging> - </PartyBelonging>
        <RoleName>אחר</RoleName>
        <IsSubProceeding>FALSE</IsSubProceeding>
        <FullName>חבר תרגומים בע"מ</FullName>
        <LastName>חבר תרגומים בע"מ</LastName>
        <PartyPropertyName/>
        <AuthenticationTypeAndNumber>חברות 512892126</AuthenticationTypeAndNumber>
        <RepresentatedOrRepresentativesNames/>
        <RepresentatedOrRepresentativesCount>0</RepresentatedOrRepresentativesCount>
        <InvitedBy/>
        <CaseID>77774218</CaseID>
        <CaseJudicialPersonPresentationDS>
          <CaseJudicalPersonActive>
            <CaseID>77774218</CaseID>
            <JudicialPersonID>040360844@GOV.IL</JudicialPersonID>
            <JudicialPersonTypeID>1</JudicialPersonTypeID>
            <JudicialTypeID>1</JudicialTypeID>
            <IsChairman>false</IsChairman>
            <TreatmentStartDate>2022-03-09T08:00:00+02:00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242471325</CasePartyID>
        <PartyTypeID>3</PartyTypeID>
        <ActivityStatusID>1</ActivityStatusID>
        <LegalEntityID>282141</LegalEntityID>
        <CaseLegalEntityID>120211813</CaseLegalEntityID>
        <AssistantRoleID>33</AssistantRoleID>
        <AuthenticationTypeID>3</AuthenticationTypeID>
        <AuthenticationTypeName>חברות</AuthenticationTypeName>
        <LegalEntityNumber>512892126</LegalEntityNumber>
        <IsMainPartyType>true</IsMainPartyType>
        <CaseDisplayIdentifier>19786-10-20</CaseDisplayIdentifier>
        <CaseTypeID>86</CaseTypeID>
        <CaseTypeName>תיק עזבונות (ת"ע)</CaseTypeName>
        <CaseName>אורלייניס נ' הר שגיא ואח'</CaseName>
        <FullAddress>בן יהודה 34 ירושלים </FullAddress>
        <EmailAddress>protocolj@hever.co.il</EmailAddress>
        <MotionID>0</MotionID>
        <CasePleaID>0</CasePleaID>
        <LinkedCaseID>0</LinkedCaseID>
        <PartyID>1</PartyID>
        <CasePartyCategoryID>2</CasePartyCategoryID>
        <LegalEntityAddressID>79239725</LegalEntityAddressID>
        <LegalEntityEmailAddressID>68156214</LegalEntityEmailAddressID>
        <PleaTypeID>253</PleaTypeID>
        <GroupPartyAlias/>
        <IsConverted>false</IsConverted>
        <LegalEntityRegisteredNameID>5879932</LegalEntityRegisteredNameID>
        <RepresentatedNamesOfAssistant/>
        <LegalEntityTypeID>3</LegalEntityTypeID>
        <IsVerdictExists>false</IsVerdictExists>
        <IsAsirAzir>false</IsAsirAzir>
        <MainAndSecSpec/>
        <IsPublicationProhibited>false</IsPublicationProhibited>
        <PublicationProhibitedFullName>חבר תרגומים בע"מ</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אלי חביב</FullName>
        <FirstName>אלי</FirstName>
        <LastName>חביב</LastName>
        <PartyPropertyName/>
        <AuthenticationTypeAndNumber>מ.ר. 9632</AuthenticationTypeAndNumber>
        <RepresentatedOrRepresentativesNames>אלי חביב</RepresentatedOrRepresentativesNames>
        <RepresentatedOrRepresentativesCount>1</RepresentatedOrRepresentativesCount>
        <InvitedBy/>
        <CaseID>77774218</CaseID>
        <CaseJudicialPersonPresentationDS>
          <CaseJudicalPersonActive>
            <CaseID>77774218</CaseID>
            <JudicialPersonID>040360844@GOV.IL</JudicialPersonID>
            <JudicialPersonTypeID>1</JudicialPersonTypeID>
            <JudicialTypeID>1</JudicialTypeID>
            <IsChairman>false</IsChairman>
            <TreatmentStartDate>2022-03-09T08:00:00+02:00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246712721</CasePartyID>
        <PartyTypeID>2</PartyTypeID>
        <ActivityStatusID>1</ActivityStatusID>
        <PartyAliasID>21</PartyAliasID>
        <PartyAliasName>בא כוח נתבעים</PartyAliasName>
        <LegalEntityID>380075</LegalEntityID>
        <CaseLegalEntityID>121582569</CaseLegalEntityID>
        <AuthenticationTypeID>4</AuthenticationTypeID>
        <AuthenticationTypeName>מ.ר.</AuthenticationTypeName>
        <LegalEntityNumber>9632</LegalEntityNumber>
        <IsMainPartyType>true</IsMainPartyType>
        <CaseDisplayIdentifier>19786-10-20</CaseDisplayIdentifier>
        <CaseTypeID>86</CaseTypeID>
        <CaseTypeName>תיק עזבונות (ת"ע)</CaseTypeName>
        <CaseName>אורלייניס נ' הר שגיא ואח'</CaseName>
        <FullAddress>מורדי הגטאות 102 באר שבע </FullAddress>
        <EmailAddress>office@haviv-adv.co.il</EmailAddress>
        <MotionID>0</MotionID>
        <CasePleaID>0</CasePleaID>
        <FatherName xml:space="preserve">        </FatherName>
        <LinkedCaseID>0</LinkedCaseID>
        <PartyID>2</PartyID>
        <CasePartyCategoryID>2</CasePartyCategoryID>
        <LegalEntityAddressID>421812</LegalEntityAddressID>
        <LegalEntityEmailAddressID>67841575</LegalEntityEmailAddressID>
        <PleaTypeID>253</PleaTypeID>
        <LawyerOfficeName>אלי חביב</LawyerOfficeName>
        <LawyerOfficeID>419474</LawyerOfficeID>
        <GroupPartyAlias/>
        <IsConverted>false</IsConverted>
        <LegalEntityNameID>1059</LegalEntityNameID>
        <RepresentatedNamesOfAssistant/>
        <LegalEntityTypeID>4</LegalEntityTypeID>
        <IsVerdictExists>false</IsVerdictExists>
        <IsAsirAzir>false</IsAsirAzir>
        <MainAndSecSpec/>
        <IsPublicationProhibited>false</IsPublicationProhibited>
        <PublicationProhibitedFullName>אלי חביב</PublicationProhibitedFullName>
      </CaseParties>
      <CaseParties>
        <PartyTypeName>עד</PartyTypeName>
        <ProceedingType>בית משפט</ProceedingType>
        <PleaName>כתב התנגדות בעזבונות</PleaName>
        <PartyBelonging> - </PartyBelonging>
        <RoleName>עד בית משפט 1</RoleName>
        <IsSubProceeding>FALSE</IsSubProceeding>
        <FullName>מר אלון קונסטנטין אורלייניס</FullName>
        <FirstName>מר אלון</FirstName>
        <LastName>קונסטנטין אורלייניס</LastName>
        <PartyPropertyName/>
        <AuthenticationTypeAndNumber>ת"ז </AuthenticationTypeAndNumber>
        <RepresentatedOrRepresentativesNames/>
        <RepresentatedOrRepresentativesCount>0</RepresentatedOrRepresentativesCount>
        <InvitedBy/>
        <CaseID>77774218</CaseID>
        <CaseJudicialPersonPresentationDS>
          <CaseJudicalPersonActive>
            <CaseID>77774218</CaseID>
            <JudicialPersonID>040360844@GOV.IL</JudicialPersonID>
            <JudicialPersonTypeID>1</JudicialPersonTypeID>
            <JudicialTypeID>1</JudicialTypeID>
            <IsChairman>false</IsChairman>
            <TreatmentStartDate>2022-03-09T08:00:00+02:00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235307085</CasePartyID>
        <PartyTypeID>4</PartyTypeID>
        <ActivityStatusID>1</ActivityStatusID>
        <PartyAliasID>101</PartyAliasID>
        <PartyAliasName>עד בית משפט</PartyAliasName>
        <OrdinalNumber>1</OrdinalNumber>
        <LegalEntityID>80217676</LegalEntityID>
        <CaseLegalEntityID>118048279</CaseLegalEntityID>
        <AuthenticationTypeID>1</AuthenticationTypeID>
        <AuthenticationTypeName>ת"ז</AuthenticationTypeName>
        <IsMainPartyType>true</IsMainPartyType>
        <CaseDisplayIdentifier>19786-10-20</CaseDisplayIdentifier>
        <CaseTypeID>86</CaseTypeID>
        <CaseTypeName>תיק עזבונות (ת"ע)</CaseTypeName>
        <CaseName>אורלייניס נ' הר שגיא ואח'</CaseName>
        <FullAddress>באמצעות ב"כ הצדדים</FullAddress>
        <MotionID>0</MotionID>
        <CasePleaID>0</CasePleaID>
        <LinkedCaseID>0</LinkedCaseID>
        <CasePartyCategoryID>1</CasePartyCategoryID>
        <LegalEntityAddressID>85997351</LegalEntityAddressID>
        <PleaTypeID>253</PleaTypeID>
        <GroupPartyAlias/>
        <IsConverted>false</IsConverted>
        <LegalEntityNameID>92450305</LegalEntityNameID>
        <RepresentatedNamesOfAssistant/>
        <LegalEntityTypeID>1</LegalEntityTypeID>
        <IsVerdictExists>false</IsVerdictExists>
        <IsAsirAzir>false</IsAsirAzir>
        <MainAndSecSpec/>
        <IsPublicationProhibited>false</IsPublicationProhibited>
        <PublicationProhibitedFullName>מר אלון קונסטנטין אורלייניס</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אור גל און</FullName>
        <FirstName>אור</FirstName>
        <LastName>גל און</LastName>
        <PartyPropertyName/>
        <AuthenticationTypeAndNumber>מ.ר. 37953</AuthenticationTypeAndNumber>
        <RepresentatedOrRepresentativesNames>הלנה אורלייניס</RepresentatedOrRepresentativesNames>
        <RepresentatedOrRepresentativesCount>1</RepresentatedOrRepresentativesCount>
        <InvitedBy/>
        <CaseID>77774218</CaseID>
        <CaseJudicialPersonPresentationDS>
          <CaseJudicalPersonActive>
            <CaseID>77774218</CaseID>
            <JudicialPersonID>040360844@GOV.IL</JudicialPersonID>
            <JudicialPersonTypeID>1</JudicialPersonTypeID>
            <JudicialTypeID>1</JudicialTypeID>
            <IsChairman>false</IsChairman>
            <TreatmentStartDate>2022-03-09T08:00:00+02:00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217286354</CasePartyID>
        <PartyTypeID>2</PartyTypeID>
        <ActivityStatusID>1</ActivityStatusID>
        <PartyAliasID>20</PartyAliasID>
        <PartyAliasName>בא כוח תובעים</PartyAliasName>
        <OrdinalNumber>1</OrdinalNumber>
        <LegalEntityID>411890</LegalEntityID>
        <CaseLegalEntityID>112631151</CaseLegalEntityID>
        <AuthenticationTypeID>4</AuthenticationTypeID>
        <AuthenticationTypeName>מ.ר.</AuthenticationTypeName>
        <LegalEntityNumber>37953</LegalEntityNumber>
        <IsMainPartyType>true</IsMainPartyType>
        <CaseDisplayIdentifier>19786-10-20</CaseDisplayIdentifier>
        <CaseTypeID>86</CaseTypeID>
        <CaseTypeName>תיק עזבונות (ת"ע)</CaseTypeName>
        <CaseName>אורלייניס נ' הר שגיא ואח'</CaseName>
        <FullAddress>דרך מנחם בגין 150 תל אביב -יפו מגדלי WE קומה 7</FullAddress>
        <EmailAddress>galon@law-gks.com</EmailAddress>
        <MotionID>0</MotionID>
        <CasePleaID>0</CasePleaID>
        <FatherName xml:space="preserve">        </FatherName>
        <LinkedCaseID>0</LinkedCaseID>
        <PartyID>1</PartyID>
        <CasePartyCategoryID>2</CasePartyCategoryID>
        <LegalEntityAddressID>82565680</LegalEntityAddressID>
        <LegalEntityEmailAddressID>68019884</LegalEntityEmailAddressID>
        <PleaTypeID>253</PleaTypeID>
        <LawyerOfficeName>משרד עו"ד: אור גל און</LawyerOfficeName>
        <LawyerOfficeID>452534</LawyerOfficeID>
        <GroupPartyAlias/>
        <IsConverted>false</IsConverted>
        <LegalEntityNameID>32874</LegalEntityNameID>
        <RepresentatedNamesOfAssistant/>
        <LegalEntityTypeID>4</LegalEntityTypeID>
        <IsVerdictExists>false</IsVerdictExists>
        <IsAsirAzir>false</IsAsirAzir>
        <MainAndSecSpec/>
        <IsPublicationProhibited>false</IsPublicationProhibited>
        <PublicationProhibitedFullName>אור גל און</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הלנה אורלייניס</FullName>
        <FirstName>הלנה</FirstName>
        <LastName>אורלייניס</LastName>
        <PartyPropertyName/>
        <AuthenticationTypeAndNumber>ת"ז 309528263</AuthenticationTypeAndNumber>
        <RepresentatedOrRepresentativesNames>אור גל און</RepresentatedOrRepresentativesNames>
        <RepresentatedOrRepresentativesCount>1</RepresentatedOrRepresentativesCount>
        <InvitedBy/>
        <CaseID>77774218</CaseID>
        <CaseJudicialPersonPresentationDS>
          <CaseJudicalPersonActive>
            <CaseID>77774218</CaseID>
            <JudicialPersonID>040360844@GOV.IL</JudicialPersonID>
            <JudicialPersonTypeID>1</JudicialPersonTypeID>
            <JudicialTypeID>1</JudicialTypeID>
            <IsChairman>false</IsChairman>
            <TreatmentStartDate>2022-03-09T08:00:00+02:00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217286353</CasePartyID>
        <PartyTypeID>1</PartyTypeID>
        <ActivityStatusID>1</ActivityStatusID>
        <PartyAliasID>1</PartyAliasID>
        <PartyAliasName>תובע</PartyAliasName>
        <OrdinalNumber>1</OrdinalNumber>
        <LegalEntityID>58105085</LegalEntityID>
        <CaseLegalEntityID>112631150</CaseLegalEntityID>
        <AuthenticationTypeID>1</AuthenticationTypeID>
        <AuthenticationTypeName>ת"ז</AuthenticationTypeName>
        <LegalEntityNumber>309528263</LegalEntityNumber>
        <IsMainPartyType>true</IsMainPartyType>
        <CaseDisplayIdentifier>19786-10-20</CaseDisplayIdentifier>
        <CaseTypeID>86</CaseTypeID>
        <CaseTypeName>תיק עזבונות (ת"ע)</CaseTypeName>
        <CaseName>אורלייניס נ' הר שגיא ואח'</CaseName>
        <FullAddress>דרך בגין 150  תל אביב - יפ</FullAddress>
        <MotionID>0</MotionID>
        <CasePleaID>0</CasePleaID>
        <FatherName>ויאצ'סלב</FatherName>
        <LinkedCaseID>0</LinkedCaseID>
        <PartyID>1</PartyID>
        <CasePartyCategoryID>2</CasePartyCategoryID>
        <LegalEntityAddressID>84400542</LegalEntityAddressID>
        <FictitiousPoliceNumber/>
        <PleaTypeID>253</PleaTypeID>
        <GroupPartyAlias>תובעים</GroupPartyAlias>
        <IsConverted>false</IsConverted>
        <LegalEntityRegisteredNameID>8134606</LegalEntityRegisteredNameID>
        <LegalEntityNameID>90310212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הלנה אורלייניס</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נורית הר שגיא</FullName>
        <FirstName>נורית</FirstName>
        <LastName>הר שגיא</LastName>
        <PartyPropertyName/>
        <AuthenticationTypeAndNumber>ת"ז 050348820</AuthenticationTypeAndNumber>
        <RepresentatedOrRepresentativesNames>דודי לוי</RepresentatedOrRepresentativesNames>
        <RepresentatedOrRepresentativesCount>1</RepresentatedOrRepresentativesCount>
        <InvitedBy/>
        <CaseID>77774218</CaseID>
        <CaseJudicialPersonPresentationDS>
          <CaseJudicalPersonActive>
            <CaseID>77774218</CaseID>
            <JudicialPersonID>040360844@GOV.IL</JudicialPersonID>
            <JudicialPersonTypeID>1</JudicialPersonTypeID>
            <JudicialTypeID>1</JudicialTypeID>
            <IsChairman>false</IsChairman>
            <TreatmentStartDate>2022-03-09T08:00:00+02:00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217286355</CasePartyID>
        <PartyTypeID>1</PartyTypeID>
        <ActivityStatusID>1</ActivityStatusID>
        <PartyAliasID>2</PartyAliasID>
        <PartyAliasName>נתבע</PartyAliasName>
        <OrdinalNumber>1</OrdinalNumber>
        <LegalEntityID>34422796</LegalEntityID>
        <CaseLegalEntityID>112631152</CaseLegalEntityID>
        <AuthenticationTypeID>1</AuthenticationTypeID>
        <AuthenticationTypeName>ת"ז</AuthenticationTypeName>
        <LegalEntityNumber>050348820</LegalEntityNumber>
        <IsMainPartyType>true</IsMainPartyType>
        <CaseDisplayIdentifier>19786-10-20</CaseDisplayIdentifier>
        <CaseTypeID>86</CaseTypeID>
        <CaseTypeName>תיק עזבונות (ת"ע)</CaseTypeName>
        <CaseName>אורלייניס נ' הר שגיא ואח'</CaseName>
        <FullAddress/>
        <MotionID>0</MotionID>
        <CasePleaID>0</CasePleaID>
        <FatherName>מתתיהו</FatherName>
        <LinkedCaseID>0</LinkedCaseID>
        <PartyID>2</PartyID>
        <CasePartyCategoryID>2</CasePartyCategoryID>
        <PleaTypeID>253</PleaTypeID>
        <GroupPartyAlias>נתבעים</GroupPartyAlias>
        <IsConverted>false</IsConverted>
        <LegalEntityRegisteredNameID>4997565</LegalEntityRegisteredNameID>
        <LegalEntityNameID>90310213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נורית הר שגיא</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דודי לוי</FullName>
        <FirstName>דודי</FirstName>
        <LastName>לוי</LastName>
        <PartyPropertyName/>
        <AuthenticationTypeAndNumber>מ.ר. 26491</AuthenticationTypeAndNumber>
        <RepresentatedOrRepresentativesNames>דפנה הר שגיא, נורית הר שגיא, תמר הר שגיא, לבנת יאלוביץ הר שגיא</RepresentatedOrRepresentativesNames>
        <RepresentatedOrRepresentativesCount>4</RepresentatedOrRepresentativesCount>
        <InvitedBy/>
        <CaseID>77774218</CaseID>
        <CaseJudicialPersonPresentationDS>
          <CaseJudicalPersonActive>
            <CaseID>77774218</CaseID>
            <JudicialPersonID>040360844@GOV.IL</JudicialPersonID>
            <JudicialPersonTypeID>1</JudicialPersonTypeID>
            <JudicialTypeID>1</JudicialTypeID>
            <IsChairman>false</IsChairman>
            <TreatmentStartDate>2022-03-09T08:00:00+02:00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217286356</CasePartyID>
        <PartyTypeID>2</PartyTypeID>
        <ActivityStatusID>1</ActivityStatusID>
        <PartyAliasID>21</PartyAliasID>
        <PartyAliasName>בא כוח נתבעים</PartyAliasName>
        <OrdinalNumber>1</OrdinalNumber>
        <LegalEntityID>383315</LegalEntityID>
        <CaseLegalEntityID>112631153</CaseLegalEntityID>
        <AuthenticationTypeID>4</AuthenticationTypeID>
        <AuthenticationTypeName>מ.ר.</AuthenticationTypeName>
        <LegalEntityNumber>26491</LegalEntityNumber>
        <IsMainPartyType>true</IsMainPartyType>
        <CaseDisplayIdentifier>19786-10-20</CaseDisplayIdentifier>
        <CaseTypeID>86</CaseTypeID>
        <CaseTypeName>תיק עזבונות (ת"ע)</CaseTypeName>
        <CaseName>אורלייניס נ' הר שגיא ואח'</CaseName>
        <FullAddress>תובל 34 דירה 14 רמת גן </FullAddress>
        <EmailAddress>mazcirut@leviad.co.il</EmailAddress>
        <MotionID>0</MotionID>
        <CasePleaID>0</CasePleaID>
        <LinkedCaseID>0</LinkedCaseID>
        <PartyID>2</PartyID>
        <CasePartyCategoryID>2</CasePartyCategoryID>
        <LegalEntityAddressID>423054</LegalEntityAddressID>
        <LegalEntityEmailAddressID>67972253</LegalEntityEmailAddressID>
        <PleaTypeID>253</PleaTypeID>
        <LawyerOfficeName>משרד עו"ד: דודי לוי</LawyerOfficeName>
        <LawyerOfficeID>420716</LawyerOfficeID>
        <GroupPartyAlias/>
        <IsConverted>false</IsConverted>
        <LegalEntityNameID>4299</LegalEntityNameID>
        <RepresentatedNamesOfAssistant/>
        <LegalEntityTypeID>4</LegalEntityTypeID>
        <IsVerdictExists>false</IsVerdictExists>
        <IsAsirAzir>false</IsAsirAzir>
        <MainAndSecSpec/>
        <IsPublicationProhibited>false</IsPublicationProhibited>
        <PublicationProhibitedFullName>דודי לוי</PublicationProhibitedFullName>
      </CaseParties>
      <CaseParties>
        <PartyTypeName>עד</PartyTypeName>
        <ProceedingType>בית משפט</ProceedingType>
        <PleaName>כתב התנגדות בעזבונות</PleaName>
        <PartyBelonging> - </PartyBelonging>
        <RoleName>עד בית משפט 2</RoleName>
        <IsSubProceeding>FALSE</IsSubProceeding>
        <FullName>הגב' אנה אמסילי</FullName>
        <FirstName>הגב' אנה</FirstName>
        <LastName>אמסילי</LastName>
        <PartyPropertyName/>
        <AuthenticationTypeAndNumber>ת"ז </AuthenticationTypeAndNumber>
        <RepresentatedOrRepresentativesNames/>
        <RepresentatedOrRepresentativesCount>0</RepresentatedOrRepresentativesCount>
        <InvitedBy/>
        <CaseID>77774218</CaseID>
        <CaseJudicialPersonPresentationDS>
          <CaseJudicalPersonActive>
            <CaseID>77774218</CaseID>
            <JudicialPersonID>040360844@GOV.IL</JudicialPersonID>
            <JudicialPersonTypeID>1</JudicialPersonTypeID>
            <JudicialTypeID>1</JudicialTypeID>
            <IsChairman>false</IsChairman>
            <TreatmentStartDate>2022-03-09T08:00:00+02:00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235307186</CasePartyID>
        <PartyTypeID>4</PartyTypeID>
        <ActivityStatusID>1</ActivityStatusID>
        <PartyAliasID>101</PartyAliasID>
        <PartyAliasName>עד בית משפט</PartyAliasName>
        <OrdinalNumber>2</OrdinalNumber>
        <LegalEntityID>80217686</LegalEntityID>
        <CaseLegalEntityID>118048317</CaseLegalEntityID>
        <AuthenticationTypeID>1</AuthenticationTypeID>
        <AuthenticationTypeName>ת"ז</AuthenticationTypeName>
        <IsMainPartyType>true</IsMainPartyType>
        <CaseDisplayIdentifier>19786-10-20</CaseDisplayIdentifier>
        <CaseTypeID>86</CaseTypeID>
        <CaseTypeName>תיק עזבונות (ת"ע)</CaseTypeName>
        <CaseName>אורלייניס נ' הר שגיא ואח'</CaseName>
        <FullAddress>באמצעות ב"כ הצדדים</FullAddress>
        <MotionID>0</MotionID>
        <CasePleaID>0</CasePleaID>
        <LinkedCaseID>0</LinkedCaseID>
        <CasePartyCategoryID>1</CasePartyCategoryID>
        <LegalEntityAddressID>85997369</LegalEntityAddressID>
        <PleaTypeID>253</PleaTypeID>
        <GroupPartyAlias/>
        <IsConverted>false</IsConverted>
        <LegalEntityNameID>92450325</LegalEntityNameID>
        <RepresentatedNamesOfAssistant/>
        <LegalEntityTypeID>1</LegalEntityTypeID>
        <IsVerdictExists>false</IsVerdictExists>
        <IsAsirAzir>false</IsAsirAzir>
        <MainAndSecSpec/>
        <IsPublicationProhibited>false</IsPublicationProhibited>
        <PublicationProhibitedFullName>הגב' אנה אמסילי</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דפנה הר שגיא</FullName>
        <FirstName>דפנה רחל</FirstName>
        <LastName>הר שגיא</LastName>
        <PartyPropertyName/>
        <AuthenticationTypeAndNumber>ת"ז 038333464</AuthenticationTypeAndNumber>
        <RepresentatedOrRepresentativesNames>דודי לוי</RepresentatedOrRepresentativesNames>
        <RepresentatedOrRepresentativesCount>1</RepresentatedOrRepresentativesCount>
        <InvitedBy/>
        <CaseID>77774218</CaseID>
        <CaseJudicialPersonPresentationDS>
          <CaseJudicalPersonActive>
            <CaseID>77774218</CaseID>
            <JudicialPersonID>040360844@GOV.IL</JudicialPersonID>
            <JudicialPersonTypeID>1</JudicialPersonTypeID>
            <JudicialTypeID>1</JudicialTypeID>
            <IsChairman>false</IsChairman>
            <TreatmentStartDate>2022-03-09T08:00:00+02:00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217286908</CasePartyID>
        <PartyTypeID>1</PartyTypeID>
        <ActivityStatusID>1</ActivityStatusID>
        <PartyAliasID>2</PartyAliasID>
        <PartyAliasName>נתבע</PartyAliasName>
        <OrdinalNumber>2</OrdinalNumber>
        <LegalEntityID>69730454</LegalEntityID>
        <CaseLegalEntityID>112631375</CaseLegalEntityID>
        <AuthenticationTypeID>1</AuthenticationTypeID>
        <AuthenticationTypeName>ת"ז</AuthenticationTypeName>
        <LegalEntityNumber>038333464</LegalEntityNumber>
        <IsMainPartyType>true</IsMainPartyType>
        <CaseDisplayIdentifier>19786-10-20</CaseDisplayIdentifier>
        <CaseTypeID>86</CaseTypeID>
        <CaseTypeName>תיק עזבונות (ת"ע)</CaseTypeName>
        <CaseName>אורלייניס נ' הר שגיא ואח'</CaseName>
        <FullAddress>קדש ברנע 31 מיתר </FullAddress>
        <MotionID>0</MotionID>
        <CasePleaID>0</CasePleaID>
        <FatherName>אברהם י</FatherName>
        <LinkedCaseID>0</LinkedCaseID>
        <PartyID>2</PartyID>
        <CasePartyCategoryID>2</CasePartyCategoryID>
        <LegalEntityAddressID>84400624</LegalEntityAddressID>
        <PleaTypeID>253</PleaTypeID>
        <GroupPartyAlias>נתבעים</GroupPartyAlias>
        <IsConverted>false</IsConverted>
        <LegalEntityRegisteredNameID>6867731</LegalEntityRegisteredNameID>
        <LegalEntityNameID>90310315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דפנה הר שגיא</PublicationProhibitedFullName>
      </CaseParties>
      <CaseParties>
        <PartyTypeName>עד</PartyTypeName>
        <ProceedingType>בית משפט</ProceedingType>
        <PleaName>כתב התנגדות בעזבונות</PleaName>
        <PartyBelonging> - </PartyBelonging>
        <RoleName>עד בית משפט 3</RoleName>
        <IsSubProceeding>FALSE</IsSubProceeding>
        <FullName>הגב' אורית גלין יופה</FullName>
        <FirstName>הגב' אורית גלין</FirstName>
        <LastName>יופה</LastName>
        <PartyPropertyName/>
        <AuthenticationTypeAndNumber>ת"ז </AuthenticationTypeAndNumber>
        <RepresentatedOrRepresentativesNames/>
        <RepresentatedOrRepresentativesCount>0</RepresentatedOrRepresentativesCount>
        <InvitedBy/>
        <CaseID>77774218</CaseID>
        <CaseJudicialPersonPresentationDS>
          <CaseJudicalPersonActive>
            <CaseID>77774218</CaseID>
            <JudicialPersonID>040360844@GOV.IL</JudicialPersonID>
            <JudicialPersonTypeID>1</JudicialPersonTypeID>
            <JudicialTypeID>1</JudicialTypeID>
            <IsChairman>false</IsChairman>
            <TreatmentStartDate>2022-03-09T08:00:00+02:00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235307259</CasePartyID>
        <PartyTypeID>4</PartyTypeID>
        <ActivityStatusID>1</ActivityStatusID>
        <PartyAliasID>101</PartyAliasID>
        <PartyAliasName>עד בית משפט</PartyAliasName>
        <OrdinalNumber>3</OrdinalNumber>
        <LegalEntityID>80217689</LegalEntityID>
        <CaseLegalEntityID>118048325</CaseLegalEntityID>
        <AuthenticationTypeID>1</AuthenticationTypeID>
        <AuthenticationTypeName>ת"ז</AuthenticationTypeName>
        <IsMainPartyType>true</IsMainPartyType>
        <CaseDisplayIdentifier>19786-10-20</CaseDisplayIdentifier>
        <CaseTypeID>86</CaseTypeID>
        <CaseTypeName>תיק עזבונות (ת"ע)</CaseTypeName>
        <CaseName>אורלייניס נ' הר שגיא ואח'</CaseName>
        <FullAddress>באמצעות ב"כ הצדדים</FullAddress>
        <MotionID>0</MotionID>
        <CasePleaID>0</CasePleaID>
        <LinkedCaseID>0</LinkedCaseID>
        <CasePartyCategoryID>1</CasePartyCategoryID>
        <LegalEntityAddressID>85997375</LegalEntityAddressID>
        <PleaTypeID>253</PleaTypeID>
        <GroupPartyAlias/>
        <IsConverted>false</IsConverted>
        <LegalEntityNameID>92450331</LegalEntityNameID>
        <RepresentatedNamesOfAssistant/>
        <LegalEntityTypeID>1</LegalEntityTypeID>
        <IsVerdictExists>false</IsVerdictExists>
        <IsAsirAzir>false</IsAsirAzir>
        <MainAndSecSpec/>
        <IsPublicationProhibited>false</IsPublicationProhibited>
        <PublicationProhibitedFullName>הגב' אורית גלין יופה</PublicationProhibitedFullName>
      </CaseParties>
      <CaseParties>
        <PartyTypeName>צד</PartyTypeName>
        <ProceedingType>כתב טענות עיקרי</ProceedingType>
        <PleaName>כתב התנגדות בעזבונות</PleaName>
        <PartyBelonging>צד ב'</PartyBelonging>
        <RoleName>נתבע 3</RoleName>
        <IsSubProceeding>FALSE</IsSubProceeding>
        <FullName>לבנת יאלוביץ הר שגיא</FullName>
        <FirstName>לבנת ורדה</FirstName>
        <LastName>יאלוביץ הר שגיא</LastName>
        <PartyPropertyName/>
        <AuthenticationTypeAndNumber>ת"ז 040151888</AuthenticationTypeAndNumber>
        <RepresentatedOrRepresentativesNames>דודי לוי</RepresentatedOrRepresentativesNames>
        <RepresentatedOrRepresentativesCount>1</RepresentatedOrRepresentativesCount>
        <InvitedBy/>
        <CaseID>77774218</CaseID>
        <CaseJudicialPersonPresentationDS>
          <CaseJudicalPersonActive>
            <CaseID>77774218</CaseID>
            <JudicialPersonID>040360844@GOV.IL</JudicialPersonID>
            <JudicialPersonTypeID>1</JudicialPersonTypeID>
            <JudicialTypeID>1</JudicialTypeID>
            <IsChairman>false</IsChairman>
            <TreatmentStartDate>2022-03-09T08:00:00+02:00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217287040</CasePartyID>
        <PartyTypeID>1</PartyTypeID>
        <ActivityStatusID>1</ActivityStatusID>
        <PartyAliasID>2</PartyAliasID>
        <PartyAliasName>נתבע</PartyAliasName>
        <OrdinalNumber>3</OrdinalNumber>
        <LegalEntityID>13079680</LegalEntityID>
        <CaseLegalEntityID>112631408</CaseLegalEntityID>
        <AuthenticationTypeID>1</AuthenticationTypeID>
        <AuthenticationTypeName>ת"ז</AuthenticationTypeName>
        <LegalEntityNumber>040151888</LegalEntityNumber>
        <IsMainPartyType>true</IsMainPartyType>
        <CaseDisplayIdentifier>19786-10-20</CaseDisplayIdentifier>
        <CaseTypeID>86</CaseTypeID>
        <CaseTypeName>תיק עזבונות (ת"ע)</CaseTypeName>
        <CaseName>אורלייניס נ' הר שגיא ואח'</CaseName>
        <FullAddress>חטיבת הנחל 10 דירה 25 חדרה </FullAddress>
        <MotionID>0</MotionID>
        <CasePleaID>0</CasePleaID>
        <BirthDate>1980-07-21T00:00:00+03:00</BirthDate>
        <FatherName>אברהם יצחק</FatherName>
        <LinkedCaseID>0</LinkedCaseID>
        <PartyID>2</PartyID>
        <CasePartyCategoryID>2</CasePartyCategoryID>
        <LegalEntityAddressID>84400628</LegalEntityAddressID>
        <DrivingLicenseNumber>8382545</DrivingLicenseNumber>
        <PleaTypeID>253</PleaTypeID>
        <GroupPartyAlias>נתבעים</GroupPartyAlias>
        <IsConverted>false</IsConverted>
        <LegalEntityRegisteredNameID>7503028</LegalEntityRegisteredNameID>
        <LegalEntityNameID>90310325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לבנת יאלוביץ הר שגיא</PublicationProhibitedFullName>
      </CaseParties>
      <CaseParties>
        <PartyTypeName>עד</PartyTypeName>
        <ProceedingType>בית משפט</ProceedingType>
        <PleaName>כתב התנגדות בעזבונות</PleaName>
        <PartyBelonging> - </PartyBelonging>
        <RoleName>עד בית משפט 4</RoleName>
        <IsSubProceeding>FALSE</IsSubProceeding>
        <FullName>הגב' סופיה רובינשטיין</FullName>
        <FirstName>הגב' סופיה</FirstName>
        <LastName>רובינשטיין</LastName>
        <PartyPropertyName/>
        <AuthenticationTypeAndNumber>ת"ז </AuthenticationTypeAndNumber>
        <RepresentatedOrRepresentativesNames/>
        <RepresentatedOrRepresentativesCount>0</RepresentatedOrRepresentativesCount>
        <InvitedBy/>
        <CaseID>77774218</CaseID>
        <CaseJudicialPersonPresentationDS>
          <CaseJudicalPersonActive>
            <CaseID>77774218</CaseID>
            <JudicialPersonID>040360844@GOV.IL</JudicialPersonID>
            <JudicialPersonTypeID>1</JudicialPersonTypeID>
            <JudicialTypeID>1</JudicialTypeID>
            <IsChairman>false</IsChairman>
            <TreatmentStartDate>2022-03-09T08:00:00+02:00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235307353</CasePartyID>
        <PartyTypeID>4</PartyTypeID>
        <ActivityStatusID>1</ActivityStatusID>
        <PartyAliasID>101</PartyAliasID>
        <PartyAliasName>עד בית משפט</PartyAliasName>
        <OrdinalNumber>4</OrdinalNumber>
        <LegalEntityID>80217697</LegalEntityID>
        <CaseLegalEntityID>118048361</CaseLegalEntityID>
        <AuthenticationTypeID>1</AuthenticationTypeID>
        <AuthenticationTypeName>ת"ז</AuthenticationTypeName>
        <IsMainPartyType>true</IsMainPartyType>
        <CaseDisplayIdentifier>19786-10-20</CaseDisplayIdentifier>
        <CaseTypeID>86</CaseTypeID>
        <CaseTypeName>תיק עזבונות (ת"ע)</CaseTypeName>
        <CaseName>אורלייניס נ' הר שגיא ואח'</CaseName>
        <FullAddress>באמצעת ב"כ הצדדים</FullAddress>
        <MotionID>0</MotionID>
        <CasePleaID>0</CasePleaID>
        <LinkedCaseID>0</LinkedCaseID>
        <CasePartyCategoryID>1</CasePartyCategoryID>
        <LegalEntityAddressID>85997389</LegalEntityAddressID>
        <PleaTypeID>253</PleaTypeID>
        <GroupPartyAlias/>
        <IsConverted>false</IsConverted>
        <LegalEntityNameID>92450348</LegalEntityNameID>
        <RepresentatedNamesOfAssistant/>
        <LegalEntityTypeID>1</LegalEntityTypeID>
        <IsVerdictExists>false</IsVerdictExists>
        <IsAsirAzir>false</IsAsirAzir>
        <MainAndSecSpec/>
        <IsPublicationProhibited>false</IsPublicationProhibited>
        <PublicationProhibitedFullName>הגב' סופיה רובינשטיין</PublicationProhibitedFullName>
      </CaseParties>
      <CaseParties>
        <PartyTypeName>צד</PartyTypeName>
        <ProceedingType>כתב טענות עיקרי</ProceedingType>
        <PleaName>כתב התנגדות בעזבונות</PleaName>
        <PartyBelonging>צד ב'</PartyBelonging>
        <RoleName>נתבע 4</RoleName>
        <IsSubProceeding>FALSE</IsSubProceeding>
        <FullName>תמר הר שגיא</FullName>
        <FirstName>תמר יהודית</FirstName>
        <LastName>הר שגיא</LastName>
        <PartyPropertyName/>
        <AuthenticationTypeAndNumber>ת"ז 200254753</AuthenticationTypeAndNumber>
        <RepresentatedOrRepresentativesNames>דודי לוי</RepresentatedOrRepresentativesNames>
        <RepresentatedOrRepresentativesCount>1</RepresentatedOrRepresentativesCount>
        <InvitedBy/>
        <CaseID>77774218</CaseID>
        <CaseJudicialPersonPresentationDS>
          <CaseJudicalPersonActive>
            <CaseID>77774218</CaseID>
            <JudicialPersonID>040360844@GOV.IL</JudicialPersonID>
            <JudicialPersonTypeID>1</JudicialPersonTypeID>
            <JudicialTypeID>1</JudicialTypeID>
            <IsChairman>false</IsChairman>
            <TreatmentStartDate>2022-03-09T08:00:00+02:00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217287100</CasePartyID>
        <PartyTypeID>1</PartyTypeID>
        <ActivityStatusID>1</ActivityStatusID>
        <PartyAliasID>2</PartyAliasID>
        <PartyAliasName>נתבע</PartyAliasName>
        <OrdinalNumber>4</OrdinalNumber>
        <LegalEntityID>77223223</LegalEntityID>
        <CaseLegalEntityID>112631424</CaseLegalEntityID>
        <AuthenticationTypeID>1</AuthenticationTypeID>
        <AuthenticationTypeName>ת"ז</AuthenticationTypeName>
        <LegalEntityNumber>200254753</LegalEntityNumber>
        <IsMainPartyType>true</IsMainPartyType>
        <CaseDisplayIdentifier>19786-10-20</CaseDisplayIdentifier>
        <CaseTypeID>86</CaseTypeID>
        <CaseTypeName>תיק עזבונות (ת"ע)</CaseTypeName>
        <CaseName>אורלייניס נ' הר שגיא ואח'</CaseName>
        <FullAddress>קדש ברנע 31 מיתר </FullAddress>
        <MotionID>0</MotionID>
        <CasePleaID>0</CasePleaID>
        <FatherName>אברהם יצחק</FatherName>
        <LinkedCaseID>0</LinkedCaseID>
        <PartyID>2</PartyID>
        <CasePartyCategoryID>2</CasePartyCategoryID>
        <LegalEntityAddressID>84400634</LegalEntityAddressID>
        <PleaTypeID>253</PleaTypeID>
        <GroupPartyAlias>נתבעים</GroupPartyAlias>
        <IsConverted>false</IsConverted>
        <LegalEntityRegisteredNameID>7503027</LegalEntityRegisteredNameID>
        <LegalEntityNameID>90310334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תמר הר שגיא</PublicationProhibitedFullName>
      </CaseParties>
      <CaseParties>
        <PartyTypeName>עד</PartyTypeName>
        <ProceedingType>בית משפט</ProceedingType>
        <PleaName>כתב התנגדות בעזבונות</PleaName>
        <PartyBelonging> - </PartyBelonging>
        <RoleName>עד בית משפט 5</RoleName>
        <IsSubProceeding>FALSE</IsSubProceeding>
        <FullName>הגב' שחר מלמד</FullName>
        <FirstName>הגב' שחר</FirstName>
        <LastName>מלמד</LastName>
        <PartyPropertyName/>
        <AuthenticationTypeAndNumber>ת"ז </AuthenticationTypeAndNumber>
        <RepresentatedOrRepresentativesNames/>
        <RepresentatedOrRepresentativesCount>0</RepresentatedOrRepresentativesCount>
        <InvitedBy/>
        <CaseID>77774218</CaseID>
        <CaseJudicialPersonPresentationDS>
          <CaseJudicalPersonActive>
            <CaseID>77774218</CaseID>
            <JudicialPersonID>040360844@GOV.IL</JudicialPersonID>
            <JudicialPersonTypeID>1</JudicialPersonTypeID>
            <JudicialTypeID>1</JudicialTypeID>
            <IsChairman>false</IsChairman>
            <TreatmentStartDate>2022-03-09T08:00:00+02:00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235307490</CasePartyID>
        <PartyTypeID>4</PartyTypeID>
        <ActivityStatusID>1</ActivityStatusID>
        <PartyAliasID>101</PartyAliasID>
        <PartyAliasName>עד בית משפט</PartyAliasName>
        <OrdinalNumber>5</OrdinalNumber>
        <LegalEntityID>80217710</LegalEntityID>
        <CaseLegalEntityID>118048416</CaseLegalEntityID>
        <AuthenticationTypeID>1</AuthenticationTypeID>
        <AuthenticationTypeName>ת"ז</AuthenticationTypeName>
        <IsMainPartyType>true</IsMainPartyType>
        <CaseDisplayIdentifier>19786-10-20</CaseDisplayIdentifier>
        <CaseTypeID>86</CaseTypeID>
        <CaseTypeName>תיק עזבונות (ת"ע)</CaseTypeName>
        <CaseName>אורלייניס נ' הר שגיא ואח'</CaseName>
        <FullAddress>באמצעות ב"כ הצדדים</FullAddress>
        <MotionID>0</MotionID>
        <CasePleaID>0</CasePleaID>
        <LinkedCaseID>0</LinkedCaseID>
        <CasePartyCategoryID>1</CasePartyCategoryID>
        <LegalEntityAddressID>85997406</LegalEntityAddressID>
        <PleaTypeID>253</PleaTypeID>
        <GroupPartyAlias/>
        <IsConverted>false</IsConverted>
        <LegalEntityNameID>92450372</LegalEntityNameID>
        <RepresentatedNamesOfAssistant/>
        <LegalEntityTypeID>1</LegalEntityTypeID>
        <IsVerdictExists>false</IsVerdictExists>
        <IsAsirAzir>false</IsAsirAzir>
        <MainAndSecSpec/>
        <IsPublicationProhibited>false</IsPublicationProhibited>
        <PublicationProhibitedFullName>הגב' שחר מלמד</PublicationProhibitedFullName>
      </CaseParties>
      <CaseParties>
        <PartyTypeName>צד</PartyTypeName>
        <ProceedingType>כתב טענות עיקרי</ProceedingType>
        <PleaName>כתב התנגדות בעזבונות</PleaName>
        <PartyBelonging>צד ב'</PartyBelonging>
        <RoleName>נתבע 5</RoleName>
        <IsSubProceeding>FALSE</IsSubProceeding>
        <FullName>אלי חביב (מנהל עיזבון)</FullName>
        <FirstName>אלי</FirstName>
        <LastName>חביב</LastName>
        <PartyPropertyID>14</PartyPropertyID>
        <PartyPropertyName/>
        <AuthenticationTypeAndNumber>ת"ז </AuthenticationTypeAndNumber>
        <RepresentatedOrRepresentativesNames>אלי חביב</RepresentatedOrRepresentativesNames>
        <RepresentatedOrRepresentativesCount>1</RepresentatedOrRepresentativesCount>
        <InvitedBy/>
        <CaseID>77774218</CaseID>
        <CaseJudicialPersonPresentationDS>
          <CaseJudicalPersonActive>
            <CaseID>77774218</CaseID>
            <JudicialPersonID>040360844@GOV.IL</JudicialPersonID>
            <JudicialPersonTypeID>1</JudicialPersonTypeID>
            <JudicialTypeID>1</JudicialTypeID>
            <IsChairman>false</IsChairman>
            <TreatmentStartDate>2022-03-09T08:00:00+02:00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246712671</CasePartyID>
        <PartyTypeID>1</PartyTypeID>
        <ActivityStatusID>1</ActivityStatusID>
        <PartyAliasID>2</PartyAliasID>
        <PartyAliasName>נתבע</PartyAliasName>
        <OrdinalNumber>5</OrdinalNumber>
        <LegalEntityID>80781351</LegalEntityID>
        <CaseLegalEntityID>121582553</CaseLegalEntityID>
        <AuthenticationTypeID>1</AuthenticationTypeID>
        <AuthenticationTypeName>ת"ז</AuthenticationTypeName>
        <IsMainPartyType>true</IsMainPartyType>
        <CaseDisplayIdentifier>19786-10-20</CaseDisplayIdentifier>
        <CaseTypeID>86</CaseTypeID>
        <CaseTypeName>תיק עזבונות (ת"ע)</CaseTypeName>
        <CaseName>אורלייניס נ' הר שגיא ואח'</CaseName>
        <FullAddress/>
        <MotionID>0</MotionID>
        <CasePleaID>0</CasePleaID>
        <LinkedCaseID>0</LinkedCaseID>
        <PartyID>2</PartyID>
        <CasePartyCategoryID>2</CasePartyCategoryID>
        <PleaTypeID>253</PleaTypeID>
        <GroupPartyAlias>נתבעים</GroupPartyAlias>
        <IsConverted>false</IsConverted>
        <LegalEntityNameID>93803945</LegalEntityNameID>
        <RepresentatedNamesOfAssistant/>
        <LegalEntityTypeID>1</LegalEntityTypeID>
        <IsVerdictExists>false</IsVerdictExists>
        <IsAsirAzir>false</IsAsirAzir>
        <MainAndSecSpec/>
        <IsPublicationProhibited>false</IsPublicationProhibited>
        <PublicationProhibitedFullName>אלי חביב (מנהל עיזבון)</PublicationProhibitedFullName>
      </CaseParties>
      <CaseParties>
        <PartyTypeName>עד</PartyTypeName>
        <ProceedingType>בית משפט</ProceedingType>
        <PleaName>כתב התנגדות בעזבונות</PleaName>
        <PartyBelonging> - </PartyBelonging>
        <RoleName>עד בית משפט 6</RoleName>
        <IsSubProceeding>FALSE</IsSubProceeding>
        <FullName>מר יוסי לנציאנו</FullName>
        <FirstName>מר יוסי</FirstName>
        <LastName>לנציאנו</LastName>
        <PartyPropertyName/>
        <AuthenticationTypeAndNumber>ת"ז </AuthenticationTypeAndNumber>
        <RepresentatedOrRepresentativesNames/>
        <RepresentatedOrRepresentativesCount>0</RepresentatedOrRepresentativesCount>
        <InvitedBy/>
        <CaseID>77774218</CaseID>
        <CaseJudicialPersonPresentationDS>
          <CaseJudicalPersonActive>
            <CaseID>77774218</CaseID>
            <JudicialPersonID>040360844@GOV.IL</JudicialPersonID>
            <JudicialPersonTypeID>1</JudicialPersonTypeID>
            <JudicialTypeID>1</JudicialTypeID>
            <IsChairman>false</IsChairman>
            <TreatmentStartDate>2022-03-09T08:00:00+02:00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235307593</CasePartyID>
        <PartyTypeID>4</PartyTypeID>
        <ActivityStatusID>1</ActivityStatusID>
        <PartyAliasID>101</PartyAliasID>
        <PartyAliasName>עד בית משפט</PartyAliasName>
        <OrdinalNumber>6</OrdinalNumber>
        <LegalEntityID>80217718</LegalEntityID>
        <CaseLegalEntityID>118048447</CaseLegalEntityID>
        <AuthenticationTypeID>1</AuthenticationTypeID>
        <AuthenticationTypeName>ת"ז</AuthenticationTypeName>
        <IsMainPartyType>true</IsMainPartyType>
        <CaseDisplayIdentifier>19786-10-20</CaseDisplayIdentifier>
        <CaseTypeID>86</CaseTypeID>
        <CaseTypeName>תיק עזבונות (ת"ע)</CaseTypeName>
        <CaseName>אורלייניס נ' הר שגיא ואח'</CaseName>
        <FullAddress>תרמ"ב 5 דירה 5 ראשון לציון באמצעות ב"כ הצדדים</FullAddress>
        <MotionID>0</MotionID>
        <CasePleaID>0</CasePleaID>
        <LinkedCaseID>0</LinkedCaseID>
        <CasePartyCategoryID>1</CasePartyCategoryID>
        <LegalEntityAddressID>87619302</LegalEntityAddressID>
        <PleaTypeID>253</PleaTypeID>
        <GroupPartyAlias/>
        <IsConverted>false</IsConverted>
        <LegalEntityNameID>92450385</LegalEntityNameID>
        <RepresentatedNamesOfAssistant/>
        <LegalEntityTypeID>1</LegalEntityTypeID>
        <IsVerdictExists>false</IsVerdictExists>
        <IsAsirAzir>false</IsAsirAzir>
        <MainAndSecSpec/>
        <IsPublicationProhibited>false</IsPublicationProhibited>
        <PublicationProhibitedFullName>מר יוסי לנציאנו</PublicationProhibitedFullName>
      </CaseParties>
      <CaseParties>
        <PartyTypeName>עד</PartyTypeName>
        <ProceedingType>בית משפט</ProceedingType>
        <PleaName>כתב התנגדות בעזבונות</PleaName>
        <PartyBelonging> - </PartyBelonging>
        <RoleName>עד בית משפט 7</RoleName>
        <IsSubProceeding>FALSE</IsSubProceeding>
        <FullName>מר אריה הרשטוק</FullName>
        <FirstName>מר אריה</FirstName>
        <LastName>הרשטוק</LastName>
        <PartyPropertyName/>
        <AuthenticationTypeAndNumber>ת"ז </AuthenticationTypeAndNumber>
        <RepresentatedOrRepresentativesNames/>
        <RepresentatedOrRepresentativesCount>0</RepresentatedOrRepresentativesCount>
        <InvitedBy/>
        <CaseID>77774218</CaseID>
        <CaseJudicialPersonPresentationDS>
          <CaseJudicalPersonActive>
            <CaseID>77774218</CaseID>
            <JudicialPersonID>040360844@GOV.IL</JudicialPersonID>
            <JudicialPersonTypeID>1</JudicialPersonTypeID>
            <JudicialTypeID>1</JudicialTypeID>
            <IsChairman>false</IsChairman>
            <TreatmentStartDate>2022-03-09T08:00:00+02:00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235307659</CasePartyID>
        <PartyTypeID>4</PartyTypeID>
        <ActivityStatusID>1</ActivityStatusID>
        <PartyAliasID>101</PartyAliasID>
        <PartyAliasName>עד בית משפט</PartyAliasName>
        <OrdinalNumber>7</OrdinalNumber>
        <LegalEntityID>80217723</LegalEntityID>
        <CaseLegalEntityID>118048462</CaseLegalEntityID>
        <AuthenticationTypeID>1</AuthenticationTypeID>
        <AuthenticationTypeName>ת"ז</AuthenticationTypeName>
        <IsMainPartyType>true</IsMainPartyType>
        <CaseDisplayIdentifier>19786-10-20</CaseDisplayIdentifier>
        <CaseTypeID>86</CaseTypeID>
        <CaseTypeName>תיק עזבונות (ת"ע)</CaseTypeName>
        <CaseName>אורלייניס נ' הר שגיא ואח'</CaseName>
        <FullAddress>באמצעות ב"כ הצדדים</FullAddress>
        <MotionID>0</MotionID>
        <CasePleaID>0</CasePleaID>
        <LinkedCaseID>0</LinkedCaseID>
        <CasePartyCategoryID>1</CasePartyCategoryID>
        <LegalEntityAddressID>85997421</LegalEntityAddressID>
        <PleaTypeID>253</PleaTypeID>
        <GroupPartyAlias/>
        <IsConverted>false</IsConverted>
        <LegalEntityNameID>92450392</LegalEntityNameID>
        <RepresentatedNamesOfAssistant/>
        <LegalEntityTypeID>1</LegalEntityTypeID>
        <IsVerdictExists>false</IsVerdictExists>
        <IsAsirAzir>false</IsAsirAzir>
        <MainAndSecSpec/>
        <IsPublicationProhibited>false</IsPublicationProhibited>
        <PublicationProhibitedFullName>מר אריה הרשטוק</PublicationProhibitedFullName>
      </CaseParties>
    </CasePartiesSelectionDS>
    <DecisionName>פסק דין  שניתנה ע"י  שני כ"ץ</DecisionName>
    <CourtDisplayName>בית משפט לענייני משפחה בבאר שבע</CourtDisplayName>
    <IsCaseJudgePanel>false</IsCaseJudgePanel>
    <DecisionSignatureDate>2024-09-16T10:17:53.695766+03:00</DecisionSignatureDate>
    <OpenCaseDate>2020-10-13T09:25:00+03:00</OpenCaseDate>
    <CaseFeeSum>0.000</CaseFeeSum>
    <ExternalCaseNumber>49243_5</ExternalCaseNumber>
    <DecisionTypeID>2</DecisionTypeID>
    <DecisionSignatureUserName>שני כ"ץ</DecisionSignatureUserName>
    <DecisionSignatureDateHebrew>2024-09-16T10:17:53.695766+03:00</DecisionSignatureDateHebrew>
    <DecisionWriterID>040360844@GOV.IL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InMatterOfDescription>המנוח</InMatterOfDescription>
    <CaseName>אורלייניס נ' הר שגיא ואח'</CaseName>
    <DecisionNumberInCase>13</DecisionNumberInCase>
  </dt_Decision>
  <dt_DecisionCase>
    <DecisionID>0</DecisionID>
    <CaseID>77774218</CaseID>
    <CaseJudicialPersonPresentationDS>
      <CaseJudicalPersonActive>
        <CaseID>77774218</CaseID>
        <JudicialPersonID>040360844@GOV.IL</JudicialPersonID>
        <JudicialPersonTypeID>1</JudicialPersonTypeID>
        <JudicialTypeID>1</JudicialTypeID>
        <IsChairman>false</IsChairman>
        <TreatmentStartDate>2022-03-09T08:00:00+02:00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iesSelectionDS>
      <CaseParties>
        <PartyTypeName>עד</PartyTypeName>
        <ProceedingType>כתב טענות עיקרי</ProceedingType>
        <PleaName>כתב התנגדות בעזבונות</PleaName>
        <PartyBelonging> - </PartyBelonging>
        <RoleName>עד בית משפט </RoleName>
        <IsSubProceeding>FALSE</IsSubProceeding>
        <FullName>עו"ד דן מלכיאלי</FullName>
        <FirstName>עו"ד</FirstName>
        <LastName>דן מלכיאלי</LastName>
        <PartyPropertyName/>
        <AuthenticationTypeAndNumber>ת"ז </AuthenticationTypeAndNumber>
        <RepresentatedOrRepresentativesNames/>
        <RepresentatedOrRepresentativesCount>0</RepresentatedOrRepresentativesCount>
        <InvitedBy/>
        <CaseID>77774218</CaseID>
        <CaseJudicialPersonPresentationDS>
          <CaseJudicalPersonActive>
            <CaseID>77774218</CaseID>
            <JudicialPersonID>040360844@GOV.IL</JudicialPersonID>
            <JudicialPersonTypeID>1</JudicialPersonTypeID>
            <JudicialTypeID>1</JudicialTypeID>
            <IsChairman>false</IsChairman>
            <TreatmentStartDate>2022-03-09T08:00:00+02:00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229733339</CasePartyID>
        <PartyTypeID>4</PartyTypeID>
        <ActivityStatusID>1</ActivityStatusID>
        <PartyAliasID>101</PartyAliasID>
        <PartyAliasName>עד בית משפט</PartyAliasName>
        <LegalEntityID>79921736</LegalEntityID>
        <CaseLegalEntityID>116279490</CaseLegalEntityID>
        <AuthenticationTypeID>1</AuthenticationTypeID>
        <AuthenticationTypeName>ת"ז</AuthenticationTypeName>
        <IsMainPartyType>true</IsMainPartyType>
        <CaseDisplayIdentifier>19786-10-20</CaseDisplayIdentifier>
        <CaseTypeID>86</CaseTypeID>
        <CaseTypeName>תיק עזבונות (ת"ע)</CaseTypeName>
        <CaseName>אורלייניס נ' הר שגיא ואח'</CaseName>
        <FullAddress>באמצעות ב"כ המבקשת  .</FullAddress>
        <MotionID>0</MotionID>
        <CasePleaID>0</CasePleaID>
        <LinkedCaseID>0</LinkedCaseID>
        <PartyID>1</PartyID>
        <CasePartyCategoryID>2</CasePartyCategoryID>
        <LegalEntityAddressID>85470935</LegalEntityAddressID>
        <PleaTypeID>253</PleaTypeID>
        <GroupPartyAlias/>
        <IsConverted>false</IsConverted>
        <LegalEntityNameID>91760727</LegalEntityNameID>
        <RepresentatedNamesOfAssistant/>
        <LegalEntityTypeID>1</LegalEntityTypeID>
        <IsVerdictExists>false</IsVerdictExists>
        <IsAsirAzir>false</IsAsirAzir>
        <MainAndSecSpec/>
        <IsPublicationProhibited>false</IsPublicationProhibited>
        <PublicationProhibitedFullName>עו"ד דן מלכיאלי</PublicationProhibitedFullName>
      </CaseParties>
      <CaseParties>
        <PartyTypeName>מסייע</PartyTypeName>
        <ProceedingType>כתב טענות עיקרי</ProceedingType>
        <PleaName>כתב התנגדות בעזבונות</PleaName>
        <PartyBelonging> - </PartyBelonging>
        <RoleName>אחר</RoleName>
        <IsSubProceeding>FALSE</IsSubProceeding>
        <FullName>חבר תרגומים בע"מ</FullName>
        <LastName>חבר תרגומים בע"מ</LastName>
        <PartyPropertyName/>
        <AuthenticationTypeAndNumber>חברות 512892126</AuthenticationTypeAndNumber>
        <RepresentatedOrRepresentativesNames/>
        <RepresentatedOrRepresentativesCount>0</RepresentatedOrRepresentativesCount>
        <InvitedBy/>
        <CaseID>77774218</CaseID>
        <CaseJudicialPersonPresentationDS>
          <CaseJudicalPersonActive>
            <CaseID>77774218</CaseID>
            <JudicialPersonID>040360844@GOV.IL</JudicialPersonID>
            <JudicialPersonTypeID>1</JudicialPersonTypeID>
            <JudicialTypeID>1</JudicialTypeID>
            <IsChairman>false</IsChairman>
            <TreatmentStartDate>2022-03-09T08:00:00+02:00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242471325</CasePartyID>
        <PartyTypeID>3</PartyTypeID>
        <ActivityStatusID>1</ActivityStatusID>
        <LegalEntityID>282141</LegalEntityID>
        <CaseLegalEntityID>120211813</CaseLegalEntityID>
        <AssistantRoleID>33</AssistantRoleID>
        <AuthenticationTypeID>3</AuthenticationTypeID>
        <AuthenticationTypeName>חברות</AuthenticationTypeName>
        <LegalEntityNumber>512892126</LegalEntityNumber>
        <IsMainPartyType>true</IsMainPartyType>
        <CaseDisplayIdentifier>19786-10-20</CaseDisplayIdentifier>
        <CaseTypeID>86</CaseTypeID>
        <CaseTypeName>תיק עזבונות (ת"ע)</CaseTypeName>
        <CaseName>אורלייניס נ' הר שגיא ואח'</CaseName>
        <FullAddress>בן יהודה 34 ירושלים </FullAddress>
        <EmailAddress>protocolj@hever.co.il</EmailAddress>
        <MotionID>0</MotionID>
        <CasePleaID>0</CasePleaID>
        <LinkedCaseID>0</LinkedCaseID>
        <PartyID>1</PartyID>
        <CasePartyCategoryID>2</CasePartyCategoryID>
        <LegalEntityAddressID>79239725</LegalEntityAddressID>
        <LegalEntityEmailAddressID>68156214</LegalEntityEmailAddressID>
        <PleaTypeID>253</PleaTypeID>
        <GroupPartyAlias/>
        <IsConverted>false</IsConverted>
        <LegalEntityRegisteredNameID>5879932</LegalEntityRegisteredNameID>
        <RepresentatedNamesOfAssistant/>
        <LegalEntityTypeID>3</LegalEntityTypeID>
        <IsVerdictExists>false</IsVerdictExists>
        <IsAsirAzir>false</IsAsirAzir>
        <MainAndSecSpec/>
        <IsPublicationProhibited>false</IsPublicationProhibited>
        <PublicationProhibitedFullName>חבר תרגומים בע"מ</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אלי חביב</FullName>
        <FirstName>אלי</FirstName>
        <LastName>חביב</LastName>
        <PartyPropertyName/>
        <AuthenticationTypeAndNumber>מ.ר. 9632</AuthenticationTypeAndNumber>
        <RepresentatedOrRepresentativesNames>אלי חביב</RepresentatedOrRepresentativesNames>
        <RepresentatedOrRepresentativesCount>1</RepresentatedOrRepresentativesCount>
        <InvitedBy/>
        <CaseID>77774218</CaseID>
        <CaseJudicialPersonPresentationDS>
          <CaseJudicalPersonActive>
            <CaseID>77774218</CaseID>
            <JudicialPersonID>040360844@GOV.IL</JudicialPersonID>
            <JudicialPersonTypeID>1</JudicialPersonTypeID>
            <JudicialTypeID>1</JudicialTypeID>
            <IsChairman>false</IsChairman>
            <TreatmentStartDate>2022-03-09T08:00:00+02:00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246712721</CasePartyID>
        <PartyTypeID>2</PartyTypeID>
        <ActivityStatusID>1</ActivityStatusID>
        <PartyAliasID>21</PartyAliasID>
        <PartyAliasName>בא כוח נתבעים</PartyAliasName>
        <LegalEntityID>380075</LegalEntityID>
        <CaseLegalEntityID>121582569</CaseLegalEntityID>
        <AuthenticationTypeID>4</AuthenticationTypeID>
        <AuthenticationTypeName>מ.ר.</AuthenticationTypeName>
        <LegalEntityNumber>9632</LegalEntityNumber>
        <IsMainPartyType>true</IsMainPartyType>
        <CaseDisplayIdentifier>19786-10-20</CaseDisplayIdentifier>
        <CaseTypeID>86</CaseTypeID>
        <CaseTypeName>תיק עזבונות (ת"ע)</CaseTypeName>
        <CaseName>אורלייניס נ' הר שגיא ואח'</CaseName>
        <FullAddress>מורדי הגטאות 102 באר שבע </FullAddress>
        <EmailAddress>office@haviv-adv.co.il</EmailAddress>
        <MotionID>0</MotionID>
        <CasePleaID>0</CasePleaID>
        <FatherName xml:space="preserve">        </FatherName>
        <LinkedCaseID>0</LinkedCaseID>
        <PartyID>2</PartyID>
        <CasePartyCategoryID>2</CasePartyCategoryID>
        <LegalEntityAddressID>421812</LegalEntityAddressID>
        <LegalEntityEmailAddressID>67841575</LegalEntityEmailAddressID>
        <PleaTypeID>253</PleaTypeID>
        <LawyerOfficeName>אלי חביב</LawyerOfficeName>
        <LawyerOfficeID>419474</LawyerOfficeID>
        <GroupPartyAlias/>
        <IsConverted>false</IsConverted>
        <LegalEntityNameID>1059</LegalEntityNameID>
        <RepresentatedNamesOfAssistant/>
        <LegalEntityTypeID>4</LegalEntityTypeID>
        <IsVerdictExists>false</IsVerdictExists>
        <IsAsirAzir>false</IsAsirAzir>
        <MainAndSecSpec/>
        <IsPublicationProhibited>false</IsPublicationProhibited>
        <PublicationProhibitedFullName>אלי חביב</PublicationProhibitedFullName>
      </CaseParties>
      <CaseParties>
        <PartyTypeName>עד</PartyTypeName>
        <ProceedingType>בית משפט</ProceedingType>
        <PleaName>כתב התנגדות בעזבונות</PleaName>
        <PartyBelonging> - </PartyBelonging>
        <RoleName>עד בית משפט 1</RoleName>
        <IsSubProceeding>FALSE</IsSubProceeding>
        <FullName>מר אלון קונסטנטין אורלייניס</FullName>
        <FirstName>מר אלון</FirstName>
        <LastName>קונסטנטין אורלייניס</LastName>
        <PartyPropertyName/>
        <AuthenticationTypeAndNumber>ת"ז </AuthenticationTypeAndNumber>
        <RepresentatedOrRepresentativesNames/>
        <RepresentatedOrRepresentativesCount>0</RepresentatedOrRepresentativesCount>
        <InvitedBy/>
        <CaseID>77774218</CaseID>
        <CaseJudicialPersonPresentationDS>
          <CaseJudicalPersonActive>
            <CaseID>77774218</CaseID>
            <JudicialPersonID>040360844@GOV.IL</JudicialPersonID>
            <JudicialPersonTypeID>1</JudicialPersonTypeID>
            <JudicialTypeID>1</JudicialTypeID>
            <IsChairman>false</IsChairman>
            <TreatmentStartDate>2022-03-09T08:00:00+02:00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235307085</CasePartyID>
        <PartyTypeID>4</PartyTypeID>
        <ActivityStatusID>1</ActivityStatusID>
        <PartyAliasID>101</PartyAliasID>
        <PartyAliasName>עד בית משפט</PartyAliasName>
        <OrdinalNumber>1</OrdinalNumber>
        <LegalEntityID>80217676</LegalEntityID>
        <CaseLegalEntityID>118048279</CaseLegalEntityID>
        <AuthenticationTypeID>1</AuthenticationTypeID>
        <AuthenticationTypeName>ת"ז</AuthenticationTypeName>
        <IsMainPartyType>true</IsMainPartyType>
        <CaseDisplayIdentifier>19786-10-20</CaseDisplayIdentifier>
        <CaseTypeID>86</CaseTypeID>
        <CaseTypeName>תיק עזבונות (ת"ע)</CaseTypeName>
        <CaseName>אורלייניס נ' הר שגיא ואח'</CaseName>
        <FullAddress>באמצעות ב"כ הצדדים</FullAddress>
        <MotionID>0</MotionID>
        <CasePleaID>0</CasePleaID>
        <LinkedCaseID>0</LinkedCaseID>
        <CasePartyCategoryID>1</CasePartyCategoryID>
        <LegalEntityAddressID>85997351</LegalEntityAddressID>
        <PleaTypeID>253</PleaTypeID>
        <GroupPartyAlias/>
        <IsConverted>false</IsConverted>
        <LegalEntityNameID>92450305</LegalEntityNameID>
        <RepresentatedNamesOfAssistant/>
        <LegalEntityTypeID>1</LegalEntityTypeID>
        <IsVerdictExists>false</IsVerdictExists>
        <IsAsirAzir>false</IsAsirAzir>
        <MainAndSecSpec/>
        <IsPublicationProhibited>false</IsPublicationProhibited>
        <PublicationProhibitedFullName>מר אלון קונסטנטין אורלייניס</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אור גל און</FullName>
        <FirstName>אור</FirstName>
        <LastName>גל און</LastName>
        <PartyPropertyName/>
        <AuthenticationTypeAndNumber>מ.ר. 37953</AuthenticationTypeAndNumber>
        <RepresentatedOrRepresentativesNames>הלנה אורלייניס</RepresentatedOrRepresentativesNames>
        <RepresentatedOrRepresentativesCount>1</RepresentatedOrRepresentativesCount>
        <InvitedBy/>
        <CaseID>77774218</CaseID>
        <CaseJudicialPersonPresentationDS>
          <CaseJudicalPersonActive>
            <CaseID>77774218</CaseID>
            <JudicialPersonID>040360844@GOV.IL</JudicialPersonID>
            <JudicialPersonTypeID>1</JudicialPersonTypeID>
            <JudicialTypeID>1</JudicialTypeID>
            <IsChairman>false</IsChairman>
            <TreatmentStartDate>2022-03-09T08:00:00+02:00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217286354</CasePartyID>
        <PartyTypeID>2</PartyTypeID>
        <ActivityStatusID>1</ActivityStatusID>
        <PartyAliasID>20</PartyAliasID>
        <PartyAliasName>בא כוח תובעים</PartyAliasName>
        <OrdinalNumber>1</OrdinalNumber>
        <LegalEntityID>411890</LegalEntityID>
        <CaseLegalEntityID>112631151</CaseLegalEntityID>
        <AuthenticationTypeID>4</AuthenticationTypeID>
        <AuthenticationTypeName>מ.ר.</AuthenticationTypeName>
        <LegalEntityNumber>37953</LegalEntityNumber>
        <IsMainPartyType>true</IsMainPartyType>
        <CaseDisplayIdentifier>19786-10-20</CaseDisplayIdentifier>
        <CaseTypeID>86</CaseTypeID>
        <CaseTypeName>תיק עזבונות (ת"ע)</CaseTypeName>
        <CaseName>אורלייניס נ' הר שגיא ואח'</CaseName>
        <FullAddress>דרך מנחם בגין 150 תל אביב -יפו מגדלי WE קומה 7</FullAddress>
        <EmailAddress>galon@law-gks.com</EmailAddress>
        <MotionID>0</MotionID>
        <CasePleaID>0</CasePleaID>
        <FatherName xml:space="preserve">        </FatherName>
        <LinkedCaseID>0</LinkedCaseID>
        <PartyID>1</PartyID>
        <CasePartyCategoryID>2</CasePartyCategoryID>
        <LegalEntityAddressID>82565680</LegalEntityAddressID>
        <LegalEntityEmailAddressID>68019884</LegalEntityEmailAddressID>
        <PleaTypeID>253</PleaTypeID>
        <LawyerOfficeName>משרד עו"ד: אור גל און</LawyerOfficeName>
        <LawyerOfficeID>452534</LawyerOfficeID>
        <GroupPartyAlias/>
        <IsConverted>false</IsConverted>
        <LegalEntityNameID>32874</LegalEntityNameID>
        <RepresentatedNamesOfAssistant/>
        <LegalEntityTypeID>4</LegalEntityTypeID>
        <IsVerdictExists>false</IsVerdictExists>
        <IsAsirAzir>false</IsAsirAzir>
        <MainAndSecSpec/>
        <IsPublicationProhibited>false</IsPublicationProhibited>
        <PublicationProhibitedFullName>אור גל און</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הלנה אורלייניס</FullName>
        <FirstName>הלנה</FirstName>
        <LastName>אורלייניס</LastName>
        <PartyPropertyName/>
        <AuthenticationTypeAndNumber>ת"ז 309528263</AuthenticationTypeAndNumber>
        <RepresentatedOrRepresentativesNames>אור גל און</RepresentatedOrRepresentativesNames>
        <RepresentatedOrRepresentativesCount>1</RepresentatedOrRepresentativesCount>
        <InvitedBy/>
        <CaseID>77774218</CaseID>
        <CaseJudicialPersonPresentationDS>
          <CaseJudicalPersonActive>
            <CaseID>77774218</CaseID>
            <JudicialPersonID>040360844@GOV.IL</JudicialPersonID>
            <JudicialPersonTypeID>1</JudicialPersonTypeID>
            <JudicialTypeID>1</JudicialTypeID>
            <IsChairman>false</IsChairman>
            <TreatmentStartDate>2022-03-09T08:00:00+02:00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217286353</CasePartyID>
        <PartyTypeID>1</PartyTypeID>
        <ActivityStatusID>1</ActivityStatusID>
        <PartyAliasID>1</PartyAliasID>
        <PartyAliasName>תובע</PartyAliasName>
        <OrdinalNumber>1</OrdinalNumber>
        <LegalEntityID>58105085</LegalEntityID>
        <CaseLegalEntityID>112631150</CaseLegalEntityID>
        <AuthenticationTypeID>1</AuthenticationTypeID>
        <AuthenticationTypeName>ת"ז</AuthenticationTypeName>
        <LegalEntityNumber>309528263</LegalEntityNumber>
        <IsMainPartyType>true</IsMainPartyType>
        <CaseDisplayIdentifier>19786-10-20</CaseDisplayIdentifier>
        <CaseTypeID>86</CaseTypeID>
        <CaseTypeName>תיק עזבונות (ת"ע)</CaseTypeName>
        <CaseName>אורלייניס נ' הר שגיא ואח'</CaseName>
        <FullAddress>דרך בגין 150  תל אביב - יפ</FullAddress>
        <MotionID>0</MotionID>
        <CasePleaID>0</CasePleaID>
        <FatherName>ויאצ'סלב</FatherName>
        <LinkedCaseID>0</LinkedCaseID>
        <PartyID>1</PartyID>
        <CasePartyCategoryID>2</CasePartyCategoryID>
        <LegalEntityAddressID>84400542</LegalEntityAddressID>
        <FictitiousPoliceNumber/>
        <PleaTypeID>253</PleaTypeID>
        <GroupPartyAlias>תובעים</GroupPartyAlias>
        <IsConverted>false</IsConverted>
        <LegalEntityRegisteredNameID>8134606</LegalEntityRegisteredNameID>
        <LegalEntityNameID>90310212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הלנה אורלייניס</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נורית הר שגיא</FullName>
        <FirstName>נורית</FirstName>
        <LastName>הר שגיא</LastName>
        <PartyPropertyName/>
        <AuthenticationTypeAndNumber>ת"ז 050348820</AuthenticationTypeAndNumber>
        <RepresentatedOrRepresentativesNames>דודי לוי</RepresentatedOrRepresentativesNames>
        <RepresentatedOrRepresentativesCount>1</RepresentatedOrRepresentativesCount>
        <InvitedBy/>
        <CaseID>77774218</CaseID>
        <CaseJudicialPersonPresentationDS>
          <CaseJudicalPersonActive>
            <CaseID>77774218</CaseID>
            <JudicialPersonID>040360844@GOV.IL</JudicialPersonID>
            <JudicialPersonTypeID>1</JudicialPersonTypeID>
            <JudicialTypeID>1</JudicialTypeID>
            <IsChairman>false</IsChairman>
            <TreatmentStartDate>2022-03-09T08:00:00+02:00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217286355</CasePartyID>
        <PartyTypeID>1</PartyTypeID>
        <ActivityStatusID>1</ActivityStatusID>
        <PartyAliasID>2</PartyAliasID>
        <PartyAliasName>נתבע</PartyAliasName>
        <OrdinalNumber>1</OrdinalNumber>
        <LegalEntityID>34422796</LegalEntityID>
        <CaseLegalEntityID>112631152</CaseLegalEntityID>
        <AuthenticationTypeID>1</AuthenticationTypeID>
        <AuthenticationTypeName>ת"ז</AuthenticationTypeName>
        <LegalEntityNumber>050348820</LegalEntityNumber>
        <IsMainPartyType>true</IsMainPartyType>
        <CaseDisplayIdentifier>19786-10-20</CaseDisplayIdentifier>
        <CaseTypeID>86</CaseTypeID>
        <CaseTypeName>תיק עזבונות (ת"ע)</CaseTypeName>
        <CaseName>אורלייניס נ' הר שגיא ואח'</CaseName>
        <FullAddress/>
        <MotionID>0</MotionID>
        <CasePleaID>0</CasePleaID>
        <FatherName>מתתיהו</FatherName>
        <LinkedCaseID>0</LinkedCaseID>
        <PartyID>2</PartyID>
        <CasePartyCategoryID>2</CasePartyCategoryID>
        <PleaTypeID>253</PleaTypeID>
        <GroupPartyAlias>נתבעים</GroupPartyAlias>
        <IsConverted>false</IsConverted>
        <LegalEntityRegisteredNameID>4997565</LegalEntityRegisteredNameID>
        <LegalEntityNameID>90310213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נורית הר שגיא</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דודי לוי</FullName>
        <FirstName>דודי</FirstName>
        <LastName>לוי</LastName>
        <PartyPropertyName/>
        <AuthenticationTypeAndNumber>מ.ר. 26491</AuthenticationTypeAndNumber>
        <RepresentatedOrRepresentativesNames>דפנה הר שגיא, נורית הר שגיא, תמר הר שגיא, לבנת יאלוביץ הר שגיא</RepresentatedOrRepresentativesNames>
        <RepresentatedOrRepresentativesCount>4</RepresentatedOrRepresentativesCount>
        <InvitedBy/>
        <CaseID>77774218</CaseID>
        <CaseJudicialPersonPresentationDS>
          <CaseJudicalPersonActive>
            <CaseID>77774218</CaseID>
            <JudicialPersonID>040360844@GOV.IL</JudicialPersonID>
            <JudicialPersonTypeID>1</JudicialPersonTypeID>
            <JudicialTypeID>1</JudicialTypeID>
            <IsChairman>false</IsChairman>
            <TreatmentStartDate>2022-03-09T08:00:00+02:00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217286356</CasePartyID>
        <PartyTypeID>2</PartyTypeID>
        <ActivityStatusID>1</ActivityStatusID>
        <PartyAliasID>21</PartyAliasID>
        <PartyAliasName>בא כוח נתבעים</PartyAliasName>
        <OrdinalNumber>1</OrdinalNumber>
        <LegalEntityID>383315</LegalEntityID>
        <CaseLegalEntityID>112631153</CaseLegalEntityID>
        <AuthenticationTypeID>4</AuthenticationTypeID>
        <AuthenticationTypeName>מ.ר.</AuthenticationTypeName>
        <LegalEntityNumber>26491</LegalEntityNumber>
        <IsMainPartyType>true</IsMainPartyType>
        <CaseDisplayIdentifier>19786-10-20</CaseDisplayIdentifier>
        <CaseTypeID>86</CaseTypeID>
        <CaseTypeName>תיק עזבונות (ת"ע)</CaseTypeName>
        <CaseName>אורלייניס נ' הר שגיא ואח'</CaseName>
        <FullAddress>תובל 34 דירה 14 רמת גן </FullAddress>
        <EmailAddress>mazcirut@leviad.co.il</EmailAddress>
        <MotionID>0</MotionID>
        <CasePleaID>0</CasePleaID>
        <LinkedCaseID>0</LinkedCaseID>
        <PartyID>2</PartyID>
        <CasePartyCategoryID>2</CasePartyCategoryID>
        <LegalEntityAddressID>423054</LegalEntityAddressID>
        <LegalEntityEmailAddressID>67972253</LegalEntityEmailAddressID>
        <PleaTypeID>253</PleaTypeID>
        <LawyerOfficeName>משרד עו"ד: דודי לוי</LawyerOfficeName>
        <LawyerOfficeID>420716</LawyerOfficeID>
        <GroupPartyAlias/>
        <IsConverted>false</IsConverted>
        <LegalEntityNameID>4299</LegalEntityNameID>
        <RepresentatedNamesOfAssistant/>
        <LegalEntityTypeID>4</LegalEntityTypeID>
        <IsVerdictExists>false</IsVerdictExists>
        <IsAsirAzir>false</IsAsirAzir>
        <MainAndSecSpec/>
        <IsPublicationProhibited>false</IsPublicationProhibited>
        <PublicationProhibitedFullName>דודי לוי</PublicationProhibitedFullName>
      </CaseParties>
      <CaseParties>
        <PartyTypeName>עד</PartyTypeName>
        <ProceedingType>בית משפט</ProceedingType>
        <PleaName>כתב התנגדות בעזבונות</PleaName>
        <PartyBelonging> - </PartyBelonging>
        <RoleName>עד בית משפט 2</RoleName>
        <IsSubProceeding>FALSE</IsSubProceeding>
        <FullName>הגב' אנה אמסילי</FullName>
        <FirstName>הגב' אנה</FirstName>
        <LastName>אמסילי</LastName>
        <PartyPropertyName/>
        <AuthenticationTypeAndNumber>ת"ז </AuthenticationTypeAndNumber>
        <RepresentatedOrRepresentativesNames/>
        <RepresentatedOrRepresentativesCount>0</RepresentatedOrRepresentativesCount>
        <InvitedBy/>
        <CaseID>77774218</CaseID>
        <CaseJudicialPersonPresentationDS>
          <CaseJudicalPersonActive>
            <CaseID>77774218</CaseID>
            <JudicialPersonID>040360844@GOV.IL</JudicialPersonID>
            <JudicialPersonTypeID>1</JudicialPersonTypeID>
            <JudicialTypeID>1</JudicialTypeID>
            <IsChairman>false</IsChairman>
            <TreatmentStartDate>2022-03-09T08:00:00+02:00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235307186</CasePartyID>
        <PartyTypeID>4</PartyTypeID>
        <ActivityStatusID>1</ActivityStatusID>
        <PartyAliasID>101</PartyAliasID>
        <PartyAliasName>עד בית משפט</PartyAliasName>
        <OrdinalNumber>2</OrdinalNumber>
        <LegalEntityID>80217686</LegalEntityID>
        <CaseLegalEntityID>118048317</CaseLegalEntityID>
        <AuthenticationTypeID>1</AuthenticationTypeID>
        <AuthenticationTypeName>ת"ז</AuthenticationTypeName>
        <IsMainPartyType>true</IsMainPartyType>
        <CaseDisplayIdentifier>19786-10-20</CaseDisplayIdentifier>
        <CaseTypeID>86</CaseTypeID>
        <CaseTypeName>תיק עזבונות (ת"ע)</CaseTypeName>
        <CaseName>אורלייניס נ' הר שגיא ואח'</CaseName>
        <FullAddress>באמצעות ב"כ הצדדים</FullAddress>
        <MotionID>0</MotionID>
        <CasePleaID>0</CasePleaID>
        <LinkedCaseID>0</LinkedCaseID>
        <CasePartyCategoryID>1</CasePartyCategoryID>
        <LegalEntityAddressID>85997369</LegalEntityAddressID>
        <PleaTypeID>253</PleaTypeID>
        <GroupPartyAlias/>
        <IsConverted>false</IsConverted>
        <LegalEntityNameID>92450325</LegalEntityNameID>
        <RepresentatedNamesOfAssistant/>
        <LegalEntityTypeID>1</LegalEntityTypeID>
        <IsVerdictExists>false</IsVerdictExists>
        <IsAsirAzir>false</IsAsirAzir>
        <MainAndSecSpec/>
        <IsPublicationProhibited>false</IsPublicationProhibited>
        <PublicationProhibitedFullName>הגב' אנה אמסילי</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דפנה הר שגיא</FullName>
        <FirstName>דפנה רחל</FirstName>
        <LastName>הר שגיא</LastName>
        <PartyPropertyName/>
        <AuthenticationTypeAndNumber>ת"ז 038333464</AuthenticationTypeAndNumber>
        <RepresentatedOrRepresentativesNames>דודי לוי</RepresentatedOrRepresentativesNames>
        <RepresentatedOrRepresentativesCount>1</RepresentatedOrRepresentativesCount>
        <InvitedBy/>
        <CaseID>77774218</CaseID>
        <CaseJudicialPersonPresentationDS>
          <CaseJudicalPersonActive>
            <CaseID>77774218</CaseID>
            <JudicialPersonID>040360844@GOV.IL</JudicialPersonID>
            <JudicialPersonTypeID>1</JudicialPersonTypeID>
            <JudicialTypeID>1</JudicialTypeID>
            <IsChairman>false</IsChairman>
            <TreatmentStartDate>2022-03-09T08:00:00+02:00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217286908</CasePartyID>
        <PartyTypeID>1</PartyTypeID>
        <ActivityStatusID>1</ActivityStatusID>
        <PartyAliasID>2</PartyAliasID>
        <PartyAliasName>נתבע</PartyAliasName>
        <OrdinalNumber>2</OrdinalNumber>
        <LegalEntityID>69730454</LegalEntityID>
        <CaseLegalEntityID>112631375</CaseLegalEntityID>
        <AuthenticationTypeID>1</AuthenticationTypeID>
        <AuthenticationTypeName>ת"ז</AuthenticationTypeName>
        <LegalEntityNumber>038333464</LegalEntityNumber>
        <IsMainPartyType>true</IsMainPartyType>
        <CaseDisplayIdentifier>19786-10-20</CaseDisplayIdentifier>
        <CaseTypeID>86</CaseTypeID>
        <CaseTypeName>תיק עזבונות (ת"ע)</CaseTypeName>
        <CaseName>אורלייניס נ' הר שגיא ואח'</CaseName>
        <FullAddress>קדש ברנע 31 מיתר </FullAddress>
        <MotionID>0</MotionID>
        <CasePleaID>0</CasePleaID>
        <FatherName>אברהם י</FatherName>
        <LinkedCaseID>0</LinkedCaseID>
        <PartyID>2</PartyID>
        <CasePartyCategoryID>2</CasePartyCategoryID>
        <LegalEntityAddressID>84400624</LegalEntityAddressID>
        <PleaTypeID>253</PleaTypeID>
        <GroupPartyAlias>נתבעים</GroupPartyAlias>
        <IsConverted>false</IsConverted>
        <LegalEntityRegisteredNameID>6867731</LegalEntityRegisteredNameID>
        <LegalEntityNameID>90310315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דפנה הר שגיא</PublicationProhibitedFullName>
      </CaseParties>
      <CaseParties>
        <PartyTypeName>עד</PartyTypeName>
        <ProceedingType>בית משפט</ProceedingType>
        <PleaName>כתב התנגדות בעזבונות</PleaName>
        <PartyBelonging> - </PartyBelonging>
        <RoleName>עד בית משפט 3</RoleName>
        <IsSubProceeding>FALSE</IsSubProceeding>
        <FullName>הגב' אורית גלין יופה</FullName>
        <FirstName>הגב' אורית גלין</FirstName>
        <LastName>יופה</LastName>
        <PartyPropertyName/>
        <AuthenticationTypeAndNumber>ת"ז </AuthenticationTypeAndNumber>
        <RepresentatedOrRepresentativesNames/>
        <RepresentatedOrRepresentativesCount>0</RepresentatedOrRepresentativesCount>
        <InvitedBy/>
        <CaseID>77774218</CaseID>
        <CaseJudicialPersonPresentationDS>
          <CaseJudicalPersonActive>
            <CaseID>77774218</CaseID>
            <JudicialPersonID>040360844@GOV.IL</JudicialPersonID>
            <JudicialPersonTypeID>1</JudicialPersonTypeID>
            <JudicialTypeID>1</JudicialTypeID>
            <IsChairman>false</IsChairman>
            <TreatmentStartDate>2022-03-09T08:00:00+02:00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235307259</CasePartyID>
        <PartyTypeID>4</PartyTypeID>
        <ActivityStatusID>1</ActivityStatusID>
        <PartyAliasID>101</PartyAliasID>
        <PartyAliasName>עד בית משפט</PartyAliasName>
        <OrdinalNumber>3</OrdinalNumber>
        <LegalEntityID>80217689</LegalEntityID>
        <CaseLegalEntityID>118048325</CaseLegalEntityID>
        <AuthenticationTypeID>1</AuthenticationTypeID>
        <AuthenticationTypeName>ת"ז</AuthenticationTypeName>
        <IsMainPartyType>true</IsMainPartyType>
        <CaseDisplayIdentifier>19786-10-20</CaseDisplayIdentifier>
        <CaseTypeID>86</CaseTypeID>
        <CaseTypeName>תיק עזבונות (ת"ע)</CaseTypeName>
        <CaseName>אורלייניס נ' הר שגיא ואח'</CaseName>
        <FullAddress>באמצעות ב"כ הצדדים</FullAddress>
        <MotionID>0</MotionID>
        <CasePleaID>0</CasePleaID>
        <LinkedCaseID>0</LinkedCaseID>
        <CasePartyCategoryID>1</CasePartyCategoryID>
        <LegalEntityAddressID>85997375</LegalEntityAddressID>
        <PleaTypeID>253</PleaTypeID>
        <GroupPartyAlias/>
        <IsConverted>false</IsConverted>
        <LegalEntityNameID>92450331</LegalEntityNameID>
        <RepresentatedNamesOfAssistant/>
        <LegalEntityTypeID>1</LegalEntityTypeID>
        <IsVerdictExists>false</IsVerdictExists>
        <IsAsirAzir>false</IsAsirAzir>
        <MainAndSecSpec/>
        <IsPublicationProhibited>false</IsPublicationProhibited>
        <PublicationProhibitedFullName>הגב' אורית גלין יופה</PublicationProhibitedFullName>
      </CaseParties>
      <CaseParties>
        <PartyTypeName>צד</PartyTypeName>
        <ProceedingType>כתב טענות עיקרי</ProceedingType>
        <PleaName>כתב התנגדות בעזבונות</PleaName>
        <PartyBelonging>צד ב'</PartyBelonging>
        <RoleName>נתבע 3</RoleName>
        <IsSubProceeding>FALSE</IsSubProceeding>
        <FullName>לבנת יאלוביץ הר שגיא</FullName>
        <FirstName>לבנת ורדה</FirstName>
        <LastName>יאלוביץ הר שגיא</LastName>
        <PartyPropertyName/>
        <AuthenticationTypeAndNumber>ת"ז 040151888</AuthenticationTypeAndNumber>
        <RepresentatedOrRepresentativesNames>דודי לוי</RepresentatedOrRepresentativesNames>
        <RepresentatedOrRepresentativesCount>1</RepresentatedOrRepresentativesCount>
        <InvitedBy/>
        <CaseID>77774218</CaseID>
        <CaseJudicialPersonPresentationDS>
          <CaseJudicalPersonActive>
            <CaseID>77774218</CaseID>
            <JudicialPersonID>040360844@GOV.IL</JudicialPersonID>
            <JudicialPersonTypeID>1</JudicialPersonTypeID>
            <JudicialTypeID>1</JudicialTypeID>
            <IsChairman>false</IsChairman>
            <TreatmentStartDate>2022-03-09T08:00:00+02:00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217287040</CasePartyID>
        <PartyTypeID>1</PartyTypeID>
        <ActivityStatusID>1</ActivityStatusID>
        <PartyAliasID>2</PartyAliasID>
        <PartyAliasName>נתבע</PartyAliasName>
        <OrdinalNumber>3</OrdinalNumber>
        <LegalEntityID>13079680</LegalEntityID>
        <CaseLegalEntityID>112631408</CaseLegalEntityID>
        <AuthenticationTypeID>1</AuthenticationTypeID>
        <AuthenticationTypeName>ת"ז</AuthenticationTypeName>
        <LegalEntityNumber>040151888</LegalEntityNumber>
        <IsMainPartyType>true</IsMainPartyType>
        <CaseDisplayIdentifier>19786-10-20</CaseDisplayIdentifier>
        <CaseTypeID>86</CaseTypeID>
        <CaseTypeName>תיק עזבונות (ת"ע)</CaseTypeName>
        <CaseName>אורלייניס נ' הר שגיא ואח'</CaseName>
        <FullAddress>חטיבת הנחל 10 דירה 25 חדרה </FullAddress>
        <MotionID>0</MotionID>
        <CasePleaID>0</CasePleaID>
        <BirthDate>1980-07-21T00:00:00+03:00</BirthDate>
        <FatherName>אברהם יצחק</FatherName>
        <LinkedCaseID>0</LinkedCaseID>
        <PartyID>2</PartyID>
        <CasePartyCategoryID>2</CasePartyCategoryID>
        <LegalEntityAddressID>84400628</LegalEntityAddressID>
        <DrivingLicenseNumber>8382545</DrivingLicenseNumber>
        <PleaTypeID>253</PleaTypeID>
        <GroupPartyAlias>נתבעים</GroupPartyAlias>
        <IsConverted>false</IsConverted>
        <LegalEntityRegisteredNameID>7503028</LegalEntityRegisteredNameID>
        <LegalEntityNameID>90310325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לבנת יאלוביץ הר שגיא</PublicationProhibitedFullName>
      </CaseParties>
      <CaseParties>
        <PartyTypeName>עד</PartyTypeName>
        <ProceedingType>בית משפט</ProceedingType>
        <PleaName>כתב התנגדות בעזבונות</PleaName>
        <PartyBelonging> - </PartyBelonging>
        <RoleName>עד בית משפט 4</RoleName>
        <IsSubProceeding>FALSE</IsSubProceeding>
        <FullName>הגב' סופיה רובינשטיין</FullName>
        <FirstName>הגב' סופיה</FirstName>
        <LastName>רובינשטיין</LastName>
        <PartyPropertyName/>
        <AuthenticationTypeAndNumber>ת"ז </AuthenticationTypeAndNumber>
        <RepresentatedOrRepresentativesNames/>
        <RepresentatedOrRepresentativesCount>0</RepresentatedOrRepresentativesCount>
        <InvitedBy/>
        <CaseID>77774218</CaseID>
        <CaseJudicialPersonPresentationDS>
          <CaseJudicalPersonActive>
            <CaseID>77774218</CaseID>
            <JudicialPersonID>040360844@GOV.IL</JudicialPersonID>
            <JudicialPersonTypeID>1</JudicialPersonTypeID>
            <JudicialTypeID>1</JudicialTypeID>
            <IsChairman>false</IsChairman>
            <TreatmentStartDate>2022-03-09T08:00:00+02:00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235307353</CasePartyID>
        <PartyTypeID>4</PartyTypeID>
        <ActivityStatusID>1</ActivityStatusID>
        <PartyAliasID>101</PartyAliasID>
        <PartyAliasName>עד בית משפט</PartyAliasName>
        <OrdinalNumber>4</OrdinalNumber>
        <LegalEntityID>80217697</LegalEntityID>
        <CaseLegalEntityID>118048361</CaseLegalEntityID>
        <AuthenticationTypeID>1</AuthenticationTypeID>
        <AuthenticationTypeName>ת"ז</AuthenticationTypeName>
        <IsMainPartyType>true</IsMainPartyType>
        <CaseDisplayIdentifier>19786-10-20</CaseDisplayIdentifier>
        <CaseTypeID>86</CaseTypeID>
        <CaseTypeName>תיק עזבונות (ת"ע)</CaseTypeName>
        <CaseName>אורלייניס נ' הר שגיא ואח'</CaseName>
        <FullAddress>באמצעת ב"כ הצדדים</FullAddress>
        <MotionID>0</MotionID>
        <CasePleaID>0</CasePleaID>
        <LinkedCaseID>0</LinkedCaseID>
        <CasePartyCategoryID>1</CasePartyCategoryID>
        <LegalEntityAddressID>85997389</LegalEntityAddressID>
        <PleaTypeID>253</PleaTypeID>
        <GroupPartyAlias/>
        <IsConverted>false</IsConverted>
        <LegalEntityNameID>92450348</LegalEntityNameID>
        <RepresentatedNamesOfAssistant/>
        <LegalEntityTypeID>1</LegalEntityTypeID>
        <IsVerdictExists>false</IsVerdictExists>
        <IsAsirAzir>false</IsAsirAzir>
        <MainAndSecSpec/>
        <IsPublicationProhibited>false</IsPublicationProhibited>
        <PublicationProhibitedFullName>הגב' סופיה רובינשטיין</PublicationProhibitedFullName>
      </CaseParties>
      <CaseParties>
        <PartyTypeName>צד</PartyTypeName>
        <ProceedingType>כתב טענות עיקרי</ProceedingType>
        <PleaName>כתב התנגדות בעזבונות</PleaName>
        <PartyBelonging>צד ב'</PartyBelonging>
        <RoleName>נתבע 4</RoleName>
        <IsSubProceeding>FALSE</IsSubProceeding>
        <FullName>תמר הר שגיא</FullName>
        <FirstName>תמר יהודית</FirstName>
        <LastName>הר שגיא</LastName>
        <PartyPropertyName/>
        <AuthenticationTypeAndNumber>ת"ז 200254753</AuthenticationTypeAndNumber>
        <RepresentatedOrRepresentativesNames>דודי לוי</RepresentatedOrRepresentativesNames>
        <RepresentatedOrRepresentativesCount>1</RepresentatedOrRepresentativesCount>
        <InvitedBy/>
        <CaseID>77774218</CaseID>
        <CaseJudicialPersonPresentationDS>
          <CaseJudicalPersonActive>
            <CaseID>77774218</CaseID>
            <JudicialPersonID>040360844@GOV.IL</JudicialPersonID>
            <JudicialPersonTypeID>1</JudicialPersonTypeID>
            <JudicialTypeID>1</JudicialTypeID>
            <IsChairman>false</IsChairman>
            <TreatmentStartDate>2022-03-09T08:00:00+02:00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217287100</CasePartyID>
        <PartyTypeID>1</PartyTypeID>
        <ActivityStatusID>1</ActivityStatusID>
        <PartyAliasID>2</PartyAliasID>
        <PartyAliasName>נתבע</PartyAliasName>
        <OrdinalNumber>4</OrdinalNumber>
        <LegalEntityID>77223223</LegalEntityID>
        <CaseLegalEntityID>112631424</CaseLegalEntityID>
        <AuthenticationTypeID>1</AuthenticationTypeID>
        <AuthenticationTypeName>ת"ז</AuthenticationTypeName>
        <LegalEntityNumber>200254753</LegalEntityNumber>
        <IsMainPartyType>true</IsMainPartyType>
        <CaseDisplayIdentifier>19786-10-20</CaseDisplayIdentifier>
        <CaseTypeID>86</CaseTypeID>
        <CaseTypeName>תיק עזבונות (ת"ע)</CaseTypeName>
        <CaseName>אורלייניס נ' הר שגיא ואח'</CaseName>
        <FullAddress>קדש ברנע 31 מיתר </FullAddress>
        <MotionID>0</MotionID>
        <CasePleaID>0</CasePleaID>
        <FatherName>אברהם יצחק</FatherName>
        <LinkedCaseID>0</LinkedCaseID>
        <PartyID>2</PartyID>
        <CasePartyCategoryID>2</CasePartyCategoryID>
        <LegalEntityAddressID>84400634</LegalEntityAddressID>
        <PleaTypeID>253</PleaTypeID>
        <GroupPartyAlias>נתבעים</GroupPartyAlias>
        <IsConverted>false</IsConverted>
        <LegalEntityRegisteredNameID>7503027</LegalEntityRegisteredNameID>
        <LegalEntityNameID>90310334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תמר הר שגיא</PublicationProhibitedFullName>
      </CaseParties>
      <CaseParties>
        <PartyTypeName>עד</PartyTypeName>
        <ProceedingType>בית משפט</ProceedingType>
        <PleaName>כתב התנגדות בעזבונות</PleaName>
        <PartyBelonging> - </PartyBelonging>
        <RoleName>עד בית משפט 5</RoleName>
        <IsSubProceeding>FALSE</IsSubProceeding>
        <FullName>הגב' שחר מלמד</FullName>
        <FirstName>הגב' שחר</FirstName>
        <LastName>מלמד</LastName>
        <PartyPropertyName/>
        <AuthenticationTypeAndNumber>ת"ז </AuthenticationTypeAndNumber>
        <RepresentatedOrRepresentativesNames/>
        <RepresentatedOrRepresentativesCount>0</RepresentatedOrRepresentativesCount>
        <InvitedBy/>
        <CaseID>77774218</CaseID>
        <CaseJudicialPersonPresentationDS>
          <CaseJudicalPersonActive>
            <CaseID>77774218</CaseID>
            <JudicialPersonID>040360844@GOV.IL</JudicialPersonID>
            <JudicialPersonTypeID>1</JudicialPersonTypeID>
            <JudicialTypeID>1</JudicialTypeID>
            <IsChairman>false</IsChairman>
            <TreatmentStartDate>2022-03-09T08:00:00+02:00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235307490</CasePartyID>
        <PartyTypeID>4</PartyTypeID>
        <ActivityStatusID>1</ActivityStatusID>
        <PartyAliasID>101</PartyAliasID>
        <PartyAliasName>עד בית משפט</PartyAliasName>
        <OrdinalNumber>5</OrdinalNumber>
        <LegalEntityID>80217710</LegalEntityID>
        <CaseLegalEntityID>118048416</CaseLegalEntityID>
        <AuthenticationTypeID>1</AuthenticationTypeID>
        <AuthenticationTypeName>ת"ז</AuthenticationTypeName>
        <IsMainPartyType>true</IsMainPartyType>
        <CaseDisplayIdentifier>19786-10-20</CaseDisplayIdentifier>
        <CaseTypeID>86</CaseTypeID>
        <CaseTypeName>תיק עזבונות (ת"ע)</CaseTypeName>
        <CaseName>אורלייניס נ' הר שגיא ואח'</CaseName>
        <FullAddress>באמצעות ב"כ הצדדים</FullAddress>
        <MotionID>0</MotionID>
        <CasePleaID>0</CasePleaID>
        <LinkedCaseID>0</LinkedCaseID>
        <CasePartyCategoryID>1</CasePartyCategoryID>
        <LegalEntityAddressID>85997406</LegalEntityAddressID>
        <PleaTypeID>253</PleaTypeID>
        <GroupPartyAlias/>
        <IsConverted>false</IsConverted>
        <LegalEntityNameID>92450372</LegalEntityNameID>
        <RepresentatedNamesOfAssistant/>
        <LegalEntityTypeID>1</LegalEntityTypeID>
        <IsVerdictExists>false</IsVerdictExists>
        <IsAsirAzir>false</IsAsirAzir>
        <MainAndSecSpec/>
        <IsPublicationProhibited>false</IsPublicationProhibited>
        <PublicationProhibitedFullName>הגב' שחר מלמד</PublicationProhibitedFullName>
      </CaseParties>
      <CaseParties>
        <PartyTypeName>צד</PartyTypeName>
        <ProceedingType>כתב טענות עיקרי</ProceedingType>
        <PleaName>כתב התנגדות בעזבונות</PleaName>
        <PartyBelonging>צד ב'</PartyBelonging>
        <RoleName>נתבע 5</RoleName>
        <IsSubProceeding>FALSE</IsSubProceeding>
        <FullName>אלי חביב (מנהל עיזבון)</FullName>
        <FirstName>אלי</FirstName>
        <LastName>חביב</LastName>
        <PartyPropertyID>14</PartyPropertyID>
        <PartyPropertyName/>
        <AuthenticationTypeAndNumber>ת"ז </AuthenticationTypeAndNumber>
        <RepresentatedOrRepresentativesNames>אלי חביב</RepresentatedOrRepresentativesNames>
        <RepresentatedOrRepresentativesCount>1</RepresentatedOrRepresentativesCount>
        <InvitedBy/>
        <CaseID>77774218</CaseID>
        <CaseJudicialPersonPresentationDS>
          <CaseJudicalPersonActive>
            <CaseID>77774218</CaseID>
            <JudicialPersonID>040360844@GOV.IL</JudicialPersonID>
            <JudicialPersonTypeID>1</JudicialPersonTypeID>
            <JudicialTypeID>1</JudicialTypeID>
            <IsChairman>false</IsChairman>
            <TreatmentStartDate>2022-03-09T08:00:00+02:00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246712671</CasePartyID>
        <PartyTypeID>1</PartyTypeID>
        <ActivityStatusID>1</ActivityStatusID>
        <PartyAliasID>2</PartyAliasID>
        <PartyAliasName>נתבע</PartyAliasName>
        <OrdinalNumber>5</OrdinalNumber>
        <LegalEntityID>80781351</LegalEntityID>
        <CaseLegalEntityID>121582553</CaseLegalEntityID>
        <AuthenticationTypeID>1</AuthenticationTypeID>
        <AuthenticationTypeName>ת"ז</AuthenticationTypeName>
        <IsMainPartyType>true</IsMainPartyType>
        <CaseDisplayIdentifier>19786-10-20</CaseDisplayIdentifier>
        <CaseTypeID>86</CaseTypeID>
        <CaseTypeName>תיק עזבונות (ת"ע)</CaseTypeName>
        <CaseName>אורלייניס נ' הר שגיא ואח'</CaseName>
        <FullAddress/>
        <MotionID>0</MotionID>
        <CasePleaID>0</CasePleaID>
        <LinkedCaseID>0</LinkedCaseID>
        <PartyID>2</PartyID>
        <CasePartyCategoryID>2</CasePartyCategoryID>
        <PleaTypeID>253</PleaTypeID>
        <GroupPartyAlias>נתבעים</GroupPartyAlias>
        <IsConverted>false</IsConverted>
        <LegalEntityNameID>93803945</LegalEntityNameID>
        <RepresentatedNamesOfAssistant/>
        <LegalEntityTypeID>1</LegalEntityTypeID>
        <IsVerdictExists>false</IsVerdictExists>
        <IsAsirAzir>false</IsAsirAzir>
        <MainAndSecSpec/>
        <IsPublicationProhibited>false</IsPublicationProhibited>
        <PublicationProhibitedFullName>אלי חביב (מנהל עיזבון)</PublicationProhibitedFullName>
      </CaseParties>
      <CaseParties>
        <PartyTypeName>עד</PartyTypeName>
        <ProceedingType>בית משפט</ProceedingType>
        <PleaName>כתב התנגדות בעזבונות</PleaName>
        <PartyBelonging> - </PartyBelonging>
        <RoleName>עד בית משפט 6</RoleName>
        <IsSubProceeding>FALSE</IsSubProceeding>
        <FullName>מר יוסי לנציאנו</FullName>
        <FirstName>מר יוסי</FirstName>
        <LastName>לנציאנו</LastName>
        <PartyPropertyName/>
        <AuthenticationTypeAndNumber>ת"ז </AuthenticationTypeAndNumber>
        <RepresentatedOrRepresentativesNames/>
        <RepresentatedOrRepresentativesCount>0</RepresentatedOrRepresentativesCount>
        <InvitedBy/>
        <CaseID>77774218</CaseID>
        <CaseJudicialPersonPresentationDS>
          <CaseJudicalPersonActive>
            <CaseID>77774218</CaseID>
            <JudicialPersonID>040360844@GOV.IL</JudicialPersonID>
            <JudicialPersonTypeID>1</JudicialPersonTypeID>
            <JudicialTypeID>1</JudicialTypeID>
            <IsChairman>false</IsChairman>
            <TreatmentStartDate>2022-03-09T08:00:00+02:00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235307593</CasePartyID>
        <PartyTypeID>4</PartyTypeID>
        <ActivityStatusID>1</ActivityStatusID>
        <PartyAliasID>101</PartyAliasID>
        <PartyAliasName>עד בית משפט</PartyAliasName>
        <OrdinalNumber>6</OrdinalNumber>
        <LegalEntityID>80217718</LegalEntityID>
        <CaseLegalEntityID>118048447</CaseLegalEntityID>
        <AuthenticationTypeID>1</AuthenticationTypeID>
        <AuthenticationTypeName>ת"ז</AuthenticationTypeName>
        <IsMainPartyType>true</IsMainPartyType>
        <CaseDisplayIdentifier>19786-10-20</CaseDisplayIdentifier>
        <CaseTypeID>86</CaseTypeID>
        <CaseTypeName>תיק עזבונות (ת"ע)</CaseTypeName>
        <CaseName>אורלייניס נ' הר שגיא ואח'</CaseName>
        <FullAddress>תרמ"ב 5 דירה 5 ראשון לציון באמצעות ב"כ הצדדים</FullAddress>
        <MotionID>0</MotionID>
        <CasePleaID>0</CasePleaID>
        <LinkedCaseID>0</LinkedCaseID>
        <CasePartyCategoryID>1</CasePartyCategoryID>
        <LegalEntityAddressID>87619302</LegalEntityAddressID>
        <PleaTypeID>253</PleaTypeID>
        <GroupPartyAlias/>
        <IsConverted>false</IsConverted>
        <LegalEntityNameID>92450385</LegalEntityNameID>
        <RepresentatedNamesOfAssistant/>
        <LegalEntityTypeID>1</LegalEntityTypeID>
        <IsVerdictExists>false</IsVerdictExists>
        <IsAsirAzir>false</IsAsirAzir>
        <MainAndSecSpec/>
        <IsPublicationProhibited>false</IsPublicationProhibited>
        <PublicationProhibitedFullName>מר יוסי לנציאנו</PublicationProhibitedFullName>
      </CaseParties>
      <CaseParties>
        <PartyTypeName>עד</PartyTypeName>
        <ProceedingType>בית משפט</ProceedingType>
        <PleaName>כתב התנגדות בעזבונות</PleaName>
        <PartyBelonging> - </PartyBelonging>
        <RoleName>עד בית משפט 7</RoleName>
        <IsSubProceeding>FALSE</IsSubProceeding>
        <FullName>מר אריה הרשטוק</FullName>
        <FirstName>מר אריה</FirstName>
        <LastName>הרשטוק</LastName>
        <PartyPropertyName/>
        <AuthenticationTypeAndNumber>ת"ז </AuthenticationTypeAndNumber>
        <RepresentatedOrRepresentativesNames/>
        <RepresentatedOrRepresentativesCount>0</RepresentatedOrRepresentativesCount>
        <InvitedBy/>
        <CaseID>77774218</CaseID>
        <CaseJudicialPersonPresentationDS>
          <CaseJudicalPersonActive>
            <CaseID>77774218</CaseID>
            <JudicialPersonID>040360844@GOV.IL</JudicialPersonID>
            <JudicialPersonTypeID>1</JudicialPersonTypeID>
            <JudicialTypeID>1</JudicialTypeID>
            <IsChairman>false</IsChairman>
            <TreatmentStartDate>2022-03-09T08:00:00+02:00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235307659</CasePartyID>
        <PartyTypeID>4</PartyTypeID>
        <ActivityStatusID>1</ActivityStatusID>
        <PartyAliasID>101</PartyAliasID>
        <PartyAliasName>עד בית משפט</PartyAliasName>
        <OrdinalNumber>7</OrdinalNumber>
        <LegalEntityID>80217723</LegalEntityID>
        <CaseLegalEntityID>118048462</CaseLegalEntityID>
        <AuthenticationTypeID>1</AuthenticationTypeID>
        <AuthenticationTypeName>ת"ז</AuthenticationTypeName>
        <IsMainPartyType>true</IsMainPartyType>
        <CaseDisplayIdentifier>19786-10-20</CaseDisplayIdentifier>
        <CaseTypeID>86</CaseTypeID>
        <CaseTypeName>תיק עזבונות (ת"ע)</CaseTypeName>
        <CaseName>אורלייניס נ' הר שגיא ואח'</CaseName>
        <FullAddress>באמצעות ב"כ הצדדים</FullAddress>
        <MotionID>0</MotionID>
        <CasePleaID>0</CasePleaID>
        <LinkedCaseID>0</LinkedCaseID>
        <CasePartyCategoryID>1</CasePartyCategoryID>
        <LegalEntityAddressID>85997421</LegalEntityAddressID>
        <PleaTypeID>253</PleaTypeID>
        <GroupPartyAlias/>
        <IsConverted>false</IsConverted>
        <LegalEntityNameID>92450392</LegalEntityNameID>
        <RepresentatedNamesOfAssistant/>
        <LegalEntityTypeID>1</LegalEntityTypeID>
        <IsVerdictExists>false</IsVerdictExists>
        <IsAsirAzir>false</IsAsirAzir>
        <MainAndSecSpec/>
        <IsPublicationProhibited>false</IsPublicationProhibited>
        <PublicationProhibitedFullName>מר אריה הרשטוק</PublicationProhibitedFullName>
      </CaseParties>
    </CasePartiesSelectionDS>
    <CaseName>אורלייניס נ' הר שגיא ואח'</CaseName>
    <CaseDisplayIdentifier>19786-10-20</CaseDisplayIdentifier>
    <CaseInterestID>161</CaseInterestID>
    <CaseTypeShortName>ת"ע</CaseTypeShortName>
  </dt_DecisionCase>
  <dt_DecisionJudgePanel>
    <JudgeID>040360844@GOV.IL</JudgeID>
    <DisplayName>שני כ"ץ</DisplayName>
    <RoleName>שופט</RoleName>
    <UserTitleName>שופטת</UserTitleName>
  </dt_DecisionJudgePanel>
  <dt_LegalEntityDetails>
    <PartyID>1</PartyID>
    <PartyTypeID>4</PartyTypeID>
    <DecisionID>0</DecisionID>
    <IsPublicationProhibited>false</IsPublicationProhibited>
  </dt_LegalEntityDetails>
  <dt_LegalEntityDetails>
    <Fax>02-6240239</Fax>
    <Phone>052-3628756</Phone>
    <AddressDesc/>
    <PartyID>1</PartyID>
    <PartyTypeID>3</PartyTypeID>
    <DecisionID>0</DecisionID>
    <AssistantRoleID>33</AssistantRoleID>
    <StreetName>בן יהודה 34</StreetName>
    <CityName>ירושלים</CityName>
    <FullName> חבר תרגומים בע"מ</FullName>
    <Email>protocolj@hever.co.il</Email>
    <IsPublicationProhibited>false</IsPublicationProhibited>
  </dt_LegalEntityDetails>
  <dt_LegalEntityDetails>
    <Fax>08-6278179</Fax>
    <PartyID>2</PartyID>
    <PartyTypeID>2</PartyTypeID>
    <DecisionID>0</DecisionID>
    <StreetName>מורדי הגטאות 102</StreetName>
    <ZipCode>84206</ZipCode>
    <CityName>באר שבע</CityName>
    <FullName>אלי חביב</FullName>
    <Email>office@haviv-adv.co.il</Email>
    <IsPublicationProhibited>false</IsPublicationProhibited>
  </dt_LegalEntityDetails>
  <dt_LegalEntityDetails>
    <AddressDesc>תל אביב - יפ</AddressDesc>
    <PartyID>1</PartyID>
    <PartyTypeID>1</PartyTypeID>
    <DecisionID>0</DecisionID>
    <StreetName>דרך בגין 150</StreetName>
    <FullName>הלנה אורלייניס</FullName>
    <IsPublicationProhibited>false</IsPublicationProhibited>
  </dt_LegalEntityDetails>
  <dt_LegalEntityDetails>
    <Fax>03-6033231</Fax>
    <Phone>03-6033232</Phone>
    <AddressDesc>מגדלי WE קומה 7</AddressDesc>
    <PartyID>1</PartyID>
    <PartyTypeID>2</PartyTypeID>
    <DecisionID>0</DecisionID>
    <StreetName>דרך מנחם בגין 150</StreetName>
    <ZipCode>6492105</ZipCode>
    <CityName>תל אביב -יפו</CityName>
    <FullName>אור גל און</FullName>
    <Email>galon@law-gks.com</Email>
    <IsPublicationProhibited>false</IsPublicationProhibited>
  </dt_LegalEntityDetails>
  <dt_LegalEntityDetails>
    <PartyID>2</PartyID>
    <PartyTypeID>1</PartyTypeID>
    <DecisionID>0</DecisionID>
    <FullName>נורית  הר שגיא </FullName>
    <IsPublicationProhibited>false</IsPublicationProhibited>
  </dt_LegalEntityDetails>
  <dt_LegalEntityDetails>
    <Fax>03-7526062</Fax>
    <Phone>03-7526061</Phone>
    <PartyID>2</PartyID>
    <PartyTypeID>2</PartyTypeID>
    <DecisionID>0</DecisionID>
    <StreetName>תובל 34 דירה 14</StreetName>
    <ZipCode>52522</ZipCode>
    <CityName>רמת גן</CityName>
    <FullName>דודי לוי</FullName>
    <Email>mazcirut@leviad.co.il</Email>
    <IsPublicationProhibited>false</IsPublicationProhibited>
  </dt_LegalEntityDetails>
  <dt_LegalEntityDetails>
    <PartyTypeID>4</PartyTypeID>
    <DecisionID>0</DecisionID>
    <IsPublicationProhibited>false</IsPublicationProhibited>
  </dt_LegalEntityDetails>
  <dt_LegalEntityDetails>
    <PartyID>2</PartyID>
    <PartyTypeID>1</PartyTypeID>
    <DecisionID>0</DecisionID>
    <StreetName>קדש ברנע 31</StreetName>
    <CityName>מיתר</CityName>
    <FullName>דפנה  הר שגיא </FullName>
    <IsPublicationProhibited>false</IsPublicationProhibited>
  </dt_LegalEntityDetails>
  <dt_LegalEntityDetails>
    <PartyTypeID>4</PartyTypeID>
    <DecisionID>0</DecisionID>
    <IsPublicationProhibited>false</IsPublicationProhibited>
  </dt_LegalEntityDetails>
  <dt_LegalEntityDetails>
    <PartyID>2</PartyID>
    <PartyTypeID>1</PartyTypeID>
    <DecisionID>0</DecisionID>
    <StreetName>חטיבת הנחל 10 דירה 25</StreetName>
    <CityName>חדרה</CityName>
    <FullName>לבנת  יאלוביץ הר שגיא </FullName>
    <IsPublicationProhibited>false</IsPublicationProhibited>
  </dt_LegalEntityDetails>
  <dt_LegalEntityDetails>
    <PartyTypeID>4</PartyTypeID>
    <DecisionID>0</DecisionID>
    <IsPublicationProhibited>false</IsPublicationProhibited>
  </dt_LegalEntityDetails>
  <dt_LegalEntityDetails>
    <PartyID>2</PartyID>
    <PartyTypeID>1</PartyTypeID>
    <DecisionID>0</DecisionID>
    <StreetName>קדש ברנע 31</StreetName>
    <CityName>מיתר</CityName>
    <FullName>תמר  הר שגיא </FullName>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ID>2</PartyID>
    <PartyTypeID>1</PartyTypeID>
    <DecisionID>0</DecisionID>
    <FullName>אלי חביב</FullName>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CaseJudicalPersonActive>
    <CaseJudicalPerson>שופטת שני כ"ץ</CaseJudicalPerson>
  </dt_CaseJudicalPersonActive>
  <dt_Sitting>
    <PreviousMeetingDate>2023-04-23T10:00:00+03:00</PreviousMeetingDate>
    <PreviousSittingTypeID>2</PreviousSittingTypeID>
    <PreviousMeetingDisplayName>שופטת שני כ"ץ</PreviousMeetingDisplayName>
    <PreviousMeetingRoleName>שופט</PreviousMeetingRoleName>
    <PreviousMeetingUserTitleName>שופטת</PreviousMeetingUserTitleName>
    <PreviousMeetingUserUPN>040360844@GOV.IL</PreviousMeetingUserUPN>
  </dt_Sitting>
  <dt_InMatterOfCase>
    <InMatterOfCaseID>58794</InMatterOfCaseID>
    <AuthenticationTypeID>1</AuthenticationTypeID>
    <AuthenticationNumber>001695774</AuthenticationNumber>
    <FirstName>אברהם יצחק </FirstName>
    <LastName>הר שגיא </LastName>
  </dt_InMatterOfCase>
</DecisionTemplateDS>
</file>

<file path=customXml/itemProps1.xml><?xml version="1.0" encoding="utf-8"?>
<ds:datastoreItem xmlns:ds="http://schemas.openxmlformats.org/officeDocument/2006/customXml" ds:itemID="{50AEF7DE-315C-428B-821C-F7401B53774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6825</Words>
  <Characters>34130</Characters>
  <Application>Microsoft Office Word</Application>
  <DocSecurity>0</DocSecurity>
  <Lines>284</Lines>
  <Paragraphs>81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40874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2024-09-26T06:56:00Z</dcterms:created>
  <dcterms:modified xsi:type="dcterms:W3CDTF">2024-09-26T06:56:00Z</dcterms:modified>
</cp:coreProperties>
</file>